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9FEF9">
      <w:pPr>
        <w:jc w:val="center"/>
        <w:rPr>
          <w:rFonts w:hint="eastAsia"/>
          <w:color w:val="auto"/>
          <w:highlight w:val="none"/>
          <w:lang w:val="en-US" w:eastAsia="zh-CN"/>
        </w:rPr>
      </w:pPr>
    </w:p>
    <w:p w14:paraId="5B905E89">
      <w:pPr>
        <w:jc w:val="center"/>
        <w:rPr>
          <w:rFonts w:hint="eastAsia"/>
          <w:color w:val="auto"/>
          <w:highlight w:val="none"/>
          <w:lang w:val="en-US" w:eastAsia="zh-CN"/>
        </w:rPr>
      </w:pPr>
    </w:p>
    <w:p w14:paraId="1BDE9515">
      <w:pPr>
        <w:jc w:val="center"/>
        <w:rPr>
          <w:rFonts w:hint="eastAsia"/>
          <w:color w:val="auto"/>
          <w:highlight w:val="none"/>
          <w:lang w:val="en-US" w:eastAsia="zh-CN"/>
        </w:rPr>
      </w:pPr>
    </w:p>
    <w:p w14:paraId="324A90D4">
      <w:pPr>
        <w:jc w:val="center"/>
        <w:rPr>
          <w:rFonts w:hint="eastAsia"/>
          <w:color w:val="auto"/>
          <w:highlight w:val="none"/>
          <w:lang w:val="en-US" w:eastAsia="zh-CN"/>
        </w:rPr>
      </w:pPr>
    </w:p>
    <w:p w14:paraId="045958C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0" w:name="_Toc7243"/>
      <w:bookmarkStart w:id="1" w:name="_Toc7942"/>
      <w:bookmarkStart w:id="2" w:name="_Toc25865"/>
      <w:bookmarkStart w:id="3" w:name="_Toc16489"/>
      <w:r>
        <w:rPr>
          <w:rFonts w:hint="eastAsia"/>
          <w:b/>
          <w:bCs/>
          <w:color w:val="auto"/>
          <w:sz w:val="52"/>
          <w:szCs w:val="72"/>
          <w:highlight w:val="none"/>
          <w:lang w:val="en-US" w:eastAsia="zh-CN"/>
        </w:rPr>
        <w:t>国内采购</w:t>
      </w:r>
      <w:bookmarkEnd w:id="0"/>
      <w:bookmarkEnd w:id="1"/>
      <w:bookmarkEnd w:id="2"/>
      <w:bookmarkEnd w:id="3"/>
    </w:p>
    <w:p w14:paraId="2A7AD42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4" w:name="_Toc8734"/>
      <w:bookmarkStart w:id="5" w:name="_Toc9385"/>
      <w:bookmarkStart w:id="6" w:name="_Toc15158"/>
      <w:bookmarkStart w:id="7" w:name="_Toc20638"/>
      <w:r>
        <w:rPr>
          <w:rFonts w:hint="eastAsia"/>
          <w:b/>
          <w:bCs/>
          <w:color w:val="auto"/>
          <w:sz w:val="52"/>
          <w:szCs w:val="72"/>
          <w:highlight w:val="none"/>
          <w:lang w:val="en-US" w:eastAsia="zh-CN"/>
        </w:rPr>
        <w:t>竞争性磋商文件</w:t>
      </w:r>
      <w:bookmarkEnd w:id="4"/>
      <w:bookmarkEnd w:id="5"/>
      <w:bookmarkEnd w:id="6"/>
      <w:bookmarkEnd w:id="7"/>
    </w:p>
    <w:p w14:paraId="6C42E20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b/>
          <w:bCs/>
          <w:color w:val="auto"/>
          <w:sz w:val="96"/>
          <w:szCs w:val="160"/>
          <w:highlight w:val="none"/>
          <w:lang w:val="en-US" w:eastAsia="zh-CN"/>
        </w:rPr>
      </w:pPr>
      <w:r>
        <w:rPr>
          <w:rFonts w:hint="default"/>
          <w:b/>
          <w:bCs/>
          <w:color w:val="auto"/>
          <w:sz w:val="96"/>
          <w:szCs w:val="160"/>
          <w:highlight w:val="none"/>
          <w:lang w:val="en-US" w:eastAsia="zh-CN"/>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14:paraId="7DAAC507">
      <w:pPr>
        <w:bidi w:val="0"/>
        <w:rPr>
          <w:rFonts w:hint="default"/>
          <w:color w:val="auto"/>
          <w:highlight w:val="none"/>
          <w:lang w:val="en-US" w:eastAsia="zh-CN"/>
        </w:rPr>
      </w:pPr>
    </w:p>
    <w:p w14:paraId="55573B39">
      <w:pPr>
        <w:bidi w:val="0"/>
        <w:rPr>
          <w:rFonts w:hint="default"/>
          <w:color w:val="auto"/>
          <w:highlight w:val="none"/>
          <w:lang w:val="en-US" w:eastAsia="zh-CN"/>
        </w:rPr>
      </w:pPr>
    </w:p>
    <w:p w14:paraId="1A9D696B">
      <w:pPr>
        <w:bidi w:val="0"/>
        <w:rPr>
          <w:rFonts w:hint="default"/>
          <w:color w:val="auto"/>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6211"/>
      </w:tblGrid>
      <w:tr w14:paraId="2C80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1264A851">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项目名称：</w:t>
            </w:r>
          </w:p>
        </w:tc>
        <w:tc>
          <w:tcPr>
            <w:tcW w:w="6211" w:type="dxa"/>
            <w:tcBorders>
              <w:top w:val="nil"/>
              <w:left w:val="nil"/>
              <w:bottom w:val="nil"/>
              <w:right w:val="nil"/>
            </w:tcBorders>
            <w:vAlign w:val="center"/>
          </w:tcPr>
          <w:p w14:paraId="40EE1B56">
            <w:pPr>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lang w:eastAsia="zh-CN"/>
              </w:rPr>
              <w:t>田边村慧眼视频运维服务采购项目</w:t>
            </w:r>
          </w:p>
        </w:tc>
      </w:tr>
      <w:tr w14:paraId="13E6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7B2FB0F9">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项目编号：</w:t>
            </w:r>
          </w:p>
        </w:tc>
        <w:tc>
          <w:tcPr>
            <w:tcW w:w="6211" w:type="dxa"/>
            <w:tcBorders>
              <w:top w:val="nil"/>
              <w:left w:val="nil"/>
              <w:bottom w:val="nil"/>
              <w:right w:val="nil"/>
            </w:tcBorders>
            <w:vAlign w:val="center"/>
          </w:tcPr>
          <w:p w14:paraId="56140603">
            <w:pPr>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lang w:eastAsia="zh-CN"/>
              </w:rPr>
              <w:t>GSDG2024-023C</w:t>
            </w:r>
          </w:p>
        </w:tc>
      </w:tr>
      <w:tr w14:paraId="6D0D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6BA5A726">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采购人：</w:t>
            </w:r>
          </w:p>
        </w:tc>
        <w:tc>
          <w:tcPr>
            <w:tcW w:w="6211" w:type="dxa"/>
            <w:tcBorders>
              <w:top w:val="nil"/>
              <w:left w:val="nil"/>
              <w:bottom w:val="nil"/>
              <w:right w:val="nil"/>
            </w:tcBorders>
            <w:vAlign w:val="center"/>
          </w:tcPr>
          <w:p w14:paraId="0636CBB3">
            <w:pPr>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lang w:eastAsia="zh-CN"/>
              </w:rPr>
              <w:t>东莞市石排镇田边股份经济联合社</w:t>
            </w:r>
          </w:p>
        </w:tc>
      </w:tr>
      <w:tr w14:paraId="654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564EB25D">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采购代理机构：</w:t>
            </w:r>
          </w:p>
        </w:tc>
        <w:tc>
          <w:tcPr>
            <w:tcW w:w="6211" w:type="dxa"/>
            <w:tcBorders>
              <w:top w:val="nil"/>
              <w:left w:val="nil"/>
              <w:bottom w:val="nil"/>
              <w:right w:val="nil"/>
            </w:tcBorders>
            <w:vAlign w:val="center"/>
          </w:tcPr>
          <w:p w14:paraId="5540C279">
            <w:pPr>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rPr>
              <w:t>国顺招标有限公司</w:t>
            </w:r>
          </w:p>
        </w:tc>
      </w:tr>
    </w:tbl>
    <w:p w14:paraId="5AADABBF">
      <w:pPr>
        <w:bidi w:val="0"/>
        <w:rPr>
          <w:rFonts w:hint="default"/>
          <w:color w:val="auto"/>
          <w:highlight w:val="none"/>
          <w:lang w:val="en-US" w:eastAsia="zh-CN"/>
        </w:rPr>
      </w:pPr>
    </w:p>
    <w:p w14:paraId="582591C0">
      <w:pPr>
        <w:bidi w:val="0"/>
        <w:rPr>
          <w:rFonts w:hint="default"/>
          <w:color w:val="auto"/>
          <w:highlight w:val="none"/>
          <w:lang w:val="en-US" w:eastAsia="zh-CN"/>
        </w:rPr>
      </w:pPr>
    </w:p>
    <w:p w14:paraId="08DD27D6">
      <w:pPr>
        <w:bidi w:val="0"/>
        <w:jc w:val="center"/>
        <w:rPr>
          <w:rFonts w:hint="eastAsia"/>
          <w:color w:val="auto"/>
          <w:sz w:val="24"/>
          <w:szCs w:val="32"/>
          <w:highlight w:val="none"/>
          <w:lang w:val="en-US" w:eastAsia="zh-CN"/>
        </w:rPr>
      </w:pPr>
    </w:p>
    <w:p w14:paraId="4746ADA6">
      <w:pPr>
        <w:bidi w:val="0"/>
        <w:jc w:val="center"/>
        <w:rPr>
          <w:rFonts w:hint="eastAsia"/>
          <w:color w:val="auto"/>
          <w:sz w:val="24"/>
          <w:szCs w:val="32"/>
          <w:highlight w:val="none"/>
          <w:lang w:val="en-US" w:eastAsia="zh-CN"/>
        </w:rPr>
      </w:pPr>
    </w:p>
    <w:p w14:paraId="69631415">
      <w:pPr>
        <w:bidi w:val="0"/>
        <w:jc w:val="center"/>
        <w:outlineLvl w:val="0"/>
        <w:rPr>
          <w:rFonts w:hint="eastAsia" w:ascii="黑体" w:hAnsi="黑体" w:eastAsia="黑体" w:cs="黑体"/>
          <w:color w:val="auto"/>
          <w:sz w:val="30"/>
          <w:szCs w:val="30"/>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8" w:name="_Toc4164"/>
      <w:bookmarkStart w:id="9" w:name="_Toc5265"/>
      <w:bookmarkStart w:id="10" w:name="_Toc18278"/>
      <w:bookmarkStart w:id="11" w:name="_Toc17050"/>
      <w:r>
        <w:rPr>
          <w:rFonts w:hint="eastAsia" w:ascii="黑体" w:hAnsi="黑体" w:eastAsia="黑体" w:cs="黑体"/>
          <w:color w:val="auto"/>
          <w:sz w:val="30"/>
          <w:szCs w:val="30"/>
          <w:highlight w:val="none"/>
          <w:lang w:val="en-US" w:eastAsia="zh-CN"/>
        </w:rPr>
        <w:t>2024年9月23日</w:t>
      </w:r>
      <w:bookmarkEnd w:id="8"/>
      <w:bookmarkEnd w:id="9"/>
      <w:bookmarkEnd w:id="10"/>
      <w:bookmarkEnd w:id="11"/>
    </w:p>
    <w:sdt>
      <w:sdtPr>
        <w:rPr>
          <w:rFonts w:ascii="宋体" w:hAnsi="宋体" w:eastAsia="宋体" w:cstheme="minorBidi"/>
          <w:b/>
          <w:bCs/>
          <w:color w:val="auto"/>
          <w:kern w:val="2"/>
          <w:sz w:val="24"/>
          <w:szCs w:val="32"/>
          <w:highlight w:val="none"/>
          <w:lang w:val="en-US" w:eastAsia="zh-CN" w:bidi="ar-SA"/>
        </w:rPr>
        <w:id w:val="147458796"/>
        <w15:color w:val="DBDBDB"/>
        <w:docPartObj>
          <w:docPartGallery w:val="Table of Contents"/>
          <w:docPartUnique/>
        </w:docPartObj>
      </w:sdtPr>
      <w:sdtEndPr>
        <w:rPr>
          <w:rFonts w:hint="eastAsia" w:ascii="黑体" w:hAnsi="黑体" w:eastAsia="黑体" w:cs="黑体"/>
          <w:b/>
          <w:bCs/>
          <w:color w:val="auto"/>
          <w:kern w:val="2"/>
          <w:sz w:val="21"/>
          <w:szCs w:val="30"/>
          <w:highlight w:val="none"/>
          <w:lang w:val="en-US" w:eastAsia="zh-CN" w:bidi="ar-SA"/>
        </w:rPr>
      </w:sdtEndPr>
      <w:sdtContent>
        <w:p w14:paraId="573C9127">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目录</w:t>
          </w:r>
        </w:p>
        <w:p w14:paraId="29199AEE">
          <w:pPr>
            <w:pStyle w:val="14"/>
            <w:tabs>
              <w:tab w:val="right" w:leader="dot" w:pos="8306"/>
            </w:tabs>
            <w:rPr>
              <w:color w:val="auto"/>
              <w:highlight w:val="none"/>
            </w:rPr>
          </w:pPr>
          <w:r>
            <w:rPr>
              <w:rFonts w:hint="eastAsia" w:ascii="黑体" w:hAnsi="黑体" w:eastAsia="黑体" w:cs="黑体"/>
              <w:color w:val="auto"/>
              <w:sz w:val="30"/>
              <w:szCs w:val="30"/>
              <w:highlight w:val="none"/>
              <w:lang w:val="en-US" w:eastAsia="zh-CN"/>
            </w:rPr>
            <w:fldChar w:fldCharType="begin"/>
          </w:r>
          <w:r>
            <w:rPr>
              <w:rFonts w:hint="eastAsia" w:ascii="黑体" w:hAnsi="黑体" w:eastAsia="黑体" w:cs="黑体"/>
              <w:color w:val="auto"/>
              <w:sz w:val="30"/>
              <w:szCs w:val="30"/>
              <w:highlight w:val="none"/>
              <w:lang w:val="en-US" w:eastAsia="zh-CN"/>
            </w:rPr>
            <w:instrText xml:space="preserve">TOC \o "1-3" \h \u </w:instrText>
          </w:r>
          <w:r>
            <w:rPr>
              <w:rFonts w:hint="eastAsia" w:ascii="黑体" w:hAnsi="黑体" w:eastAsia="黑体" w:cs="黑体"/>
              <w:color w:val="auto"/>
              <w:sz w:val="30"/>
              <w:szCs w:val="30"/>
              <w:highlight w:val="none"/>
              <w:lang w:val="en-US" w:eastAsia="zh-CN"/>
            </w:rPr>
            <w:fldChar w:fldCharType="separate"/>
          </w: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_Toc27497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3D3B2AC">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_Toc26573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356D71A">
          <w:pPr>
            <w:pStyle w:val="15"/>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_Toc30510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E05A1E2">
          <w:pPr>
            <w:pStyle w:val="15"/>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_Toc32123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21E15F6">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_Toc30834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FC738EC">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_Toc7271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1F49A9E">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_Toc30379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8492EBD">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_Toc18277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18F87A5">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_Toc24793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2F1B9F7">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_Toc13064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1F8B977">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_Toc23688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35B0B8D">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_Toc19660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48B27C0">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_Toc3812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BBBD309">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_Toc17507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5AC1D1BD">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_Toc21308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5977D14E">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_Toc28835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7924F51">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_Toc29388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D7DC5AD">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_Toc29860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51705449">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_Toc20435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83725F7">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_Toc28431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16.★</w:t>
          </w:r>
          <w:r>
            <w:rPr>
              <w:rFonts w:hint="eastAsia"/>
              <w:color w:val="auto"/>
              <w:highlight w:val="none"/>
              <w:lang w:val="en-US" w:eastAsia="zh-CN"/>
            </w:rPr>
            <w:t>响应保证金</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9816893">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_Toc17970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5510800">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_Toc3249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5C8A503">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_Toc22059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79D38C8">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4D15A4E">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_Toc4603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1A28A62">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_Toc14512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0F51385">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_Toc19811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E7B6C33">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_Toc3525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395AAE7">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_Toc18014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5AA0568">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_Toc4041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5814B45">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18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DDB0F2D">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_Toc21265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B6FE27A">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_Toc6459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0346500">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_Toc18733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A58BF4F">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_Toc26547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0041B4B">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_Toc8191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477834C">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_Toc29929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33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61723461">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_Toc20102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06FFA03">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_Toc2896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43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4504C5C">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_Toc12503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eastAsia="zh-CN"/>
            </w:rPr>
            <w:t>第七篇</w:t>
          </w:r>
          <w:r>
            <w:rPr>
              <w:rFonts w:hint="eastAsia"/>
              <w:color w:val="auto"/>
              <w:highlight w:val="none"/>
              <w:lang w:val="en-US" w:eastAsia="zh-CN"/>
            </w:rPr>
            <w:t xml:space="preserve">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66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9A27CF3">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_Toc30888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68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AB57C46">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Cs w:val="30"/>
              <w:highlight w:val="none"/>
              <w:lang w:val="en-US" w:eastAsia="zh-CN"/>
            </w:rPr>
            <w:fldChar w:fldCharType="end"/>
          </w:r>
        </w:p>
      </w:sdtContent>
    </w:sdt>
    <w:p w14:paraId="3555700B">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br w:type="page"/>
      </w:r>
    </w:p>
    <w:p w14:paraId="420AE7E3">
      <w:pPr>
        <w:pStyle w:val="2"/>
        <w:numPr>
          <w:ilvl w:val="0"/>
          <w:numId w:val="2"/>
        </w:numPr>
        <w:bidi w:val="0"/>
        <w:rPr>
          <w:rFonts w:hint="eastAsia"/>
          <w:color w:val="auto"/>
          <w:highlight w:val="none"/>
          <w:lang w:val="en-US" w:eastAsia="zh-CN"/>
        </w:rPr>
      </w:pPr>
      <w:bookmarkStart w:id="12" w:name="_Toc27497"/>
      <w:r>
        <w:rPr>
          <w:rFonts w:hint="eastAsia"/>
          <w:color w:val="auto"/>
          <w:highlight w:val="none"/>
          <w:lang w:val="en-US" w:eastAsia="zh-CN"/>
        </w:rPr>
        <w:t>磋商邀请</w:t>
      </w:r>
      <w:bookmarkEnd w:id="12"/>
    </w:p>
    <w:p w14:paraId="14C3F5E6">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46B6577E">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u w:val="single"/>
          <w:lang w:val="en-US" w:eastAsia="zh-CN"/>
        </w:rPr>
        <w:t>田边村慧眼视频运维服务采购项目</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lang w:eastAsia="zh-CN"/>
        </w:rPr>
        <w:t>东莞市南城街道鸿福西路81号国际商会大厦</w:t>
      </w:r>
      <w:r>
        <w:rPr>
          <w:rFonts w:hint="eastAsia" w:ascii="宋体" w:hAnsi="宋体" w:cs="宋体"/>
          <w:b/>
          <w:bCs/>
          <w:color w:val="auto"/>
          <w:sz w:val="21"/>
          <w:szCs w:val="21"/>
          <w:highlight w:val="none"/>
          <w:u w:val="single"/>
          <w:lang w:val="en-US" w:eastAsia="zh-CN"/>
        </w:rPr>
        <w:t>13A层01</w:t>
      </w:r>
      <w:r>
        <w:rPr>
          <w:rFonts w:hint="eastAsia" w:ascii="宋体" w:hAnsi="宋体" w:eastAsia="宋体" w:cs="宋体"/>
          <w:b/>
          <w:bCs/>
          <w:color w:val="auto"/>
          <w:sz w:val="21"/>
          <w:szCs w:val="21"/>
          <w:highlight w:val="none"/>
          <w:u w:val="single"/>
          <w:lang w:eastAsia="zh-CN"/>
        </w:rPr>
        <w:t>室</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cs="宋体"/>
          <w:b/>
          <w:bCs/>
          <w:color w:val="auto"/>
          <w:sz w:val="21"/>
          <w:szCs w:val="21"/>
          <w:highlight w:val="none"/>
          <w:u w:val="single"/>
          <w:lang w:val="en-US" w:eastAsia="zh-CN"/>
        </w:rPr>
        <w:t>2024年10</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rPr>
        <w:t>日</w:t>
      </w:r>
      <w:r>
        <w:rPr>
          <w:rFonts w:hint="default" w:ascii="宋体" w:hAnsi="宋体" w:cs="宋体"/>
          <w:b/>
          <w:bCs/>
          <w:color w:val="auto"/>
          <w:sz w:val="21"/>
          <w:szCs w:val="21"/>
          <w:highlight w:val="none"/>
          <w:u w:val="single"/>
          <w:lang w:val="en-US" w:eastAsia="zh-CN"/>
        </w:rPr>
        <w:t>1</w:t>
      </w:r>
      <w:r>
        <w:rPr>
          <w:rFonts w:hint="eastAsia" w:ascii="宋体" w:hAnsi="宋体"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0</w:t>
      </w:r>
      <w:r>
        <w:rPr>
          <w:rFonts w:hint="default" w:ascii="宋体" w:hAnsi="宋体" w:cs="宋体"/>
          <w:b/>
          <w:bCs/>
          <w:color w:val="auto"/>
          <w:sz w:val="21"/>
          <w:szCs w:val="21"/>
          <w:highlight w:val="none"/>
          <w:u w:val="single"/>
          <w:lang w:val="en-US" w:eastAsia="zh-CN"/>
        </w:rPr>
        <w:t>0</w:t>
      </w:r>
      <w:r>
        <w:rPr>
          <w:rFonts w:hint="eastAsia" w:ascii="宋体" w:hAnsi="宋体" w:eastAsia="宋体" w:cs="宋体"/>
          <w:b/>
          <w:bCs/>
          <w:color w:val="auto"/>
          <w:sz w:val="21"/>
          <w:szCs w:val="21"/>
          <w:highlight w:val="none"/>
          <w:u w:val="single"/>
        </w:rPr>
        <w:t>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14:paraId="58535CD0">
      <w:pPr>
        <w:pStyle w:val="3"/>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13" w:name="_Toc35393790"/>
      <w:bookmarkStart w:id="14" w:name="_Toc28359002"/>
      <w:bookmarkStart w:id="15" w:name="_Toc26796"/>
      <w:bookmarkStart w:id="16" w:name="_Toc35393621"/>
      <w:bookmarkStart w:id="17" w:name="_Toc2169"/>
      <w:bookmarkStart w:id="18" w:name="_Toc28359079"/>
      <w:bookmarkStart w:id="19" w:name="_Toc31624"/>
      <w:bookmarkStart w:id="20" w:name="_Toc13782"/>
      <w:bookmarkStart w:id="21" w:name="_Hlk24379207"/>
      <w:r>
        <w:rPr>
          <w:rFonts w:hint="eastAsia" w:ascii="宋体" w:hAnsi="宋体" w:eastAsia="宋体" w:cs="宋体"/>
          <w:b/>
          <w:bCs/>
          <w:color w:val="auto"/>
          <w:sz w:val="21"/>
          <w:szCs w:val="21"/>
          <w:highlight w:val="none"/>
        </w:rPr>
        <w:t>一、项目基本情况</w:t>
      </w:r>
      <w:bookmarkEnd w:id="13"/>
      <w:bookmarkEnd w:id="14"/>
      <w:bookmarkEnd w:id="15"/>
      <w:bookmarkEnd w:id="16"/>
      <w:bookmarkEnd w:id="17"/>
      <w:bookmarkEnd w:id="18"/>
      <w:bookmarkEnd w:id="19"/>
      <w:bookmarkEnd w:id="20"/>
    </w:p>
    <w:p w14:paraId="18E168B7">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GSDG2024-023C</w:t>
      </w:r>
    </w:p>
    <w:p w14:paraId="1E92750D">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田边村慧眼视频运维服务采购项目</w:t>
      </w:r>
    </w:p>
    <w:bookmarkEnd w:id="21"/>
    <w:p w14:paraId="760EE066">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8,3160.00</w:t>
      </w:r>
      <w:r>
        <w:rPr>
          <w:rFonts w:hint="eastAsia" w:ascii="宋体" w:hAnsi="宋体" w:cs="宋体"/>
          <w:b/>
          <w:bCs/>
          <w:color w:val="auto"/>
          <w:szCs w:val="21"/>
          <w:highlight w:val="none"/>
        </w:rPr>
        <w:t>元</w:t>
      </w:r>
    </w:p>
    <w:p w14:paraId="6D9EEF20">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14:paraId="18C58218">
      <w:pPr>
        <w:pageBreakBefore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标的内容：</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874"/>
      </w:tblGrid>
      <w:tr w14:paraId="34A4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6" w:type="pct"/>
            <w:noWrap w:val="0"/>
            <w:vAlign w:val="center"/>
          </w:tcPr>
          <w:p w14:paraId="2B830C31">
            <w:pPr>
              <w:spacing w:line="360" w:lineRule="auto"/>
              <w:jc w:val="center"/>
              <w:rPr>
                <w:rFonts w:hAnsi="宋体"/>
                <w:color w:val="auto"/>
                <w:sz w:val="21"/>
                <w:szCs w:val="21"/>
                <w:highlight w:val="none"/>
              </w:rPr>
            </w:pPr>
            <w:r>
              <w:rPr>
                <w:rFonts w:hint="eastAsia" w:hAnsi="宋体"/>
                <w:color w:val="auto"/>
                <w:sz w:val="21"/>
                <w:szCs w:val="21"/>
                <w:highlight w:val="none"/>
              </w:rPr>
              <w:t>包号</w:t>
            </w:r>
          </w:p>
        </w:tc>
        <w:tc>
          <w:tcPr>
            <w:tcW w:w="4033" w:type="pct"/>
            <w:noWrap w:val="0"/>
            <w:vAlign w:val="center"/>
          </w:tcPr>
          <w:p w14:paraId="07210CED">
            <w:pPr>
              <w:spacing w:line="360" w:lineRule="auto"/>
              <w:jc w:val="center"/>
              <w:rPr>
                <w:rFonts w:hAnsi="宋体"/>
                <w:color w:val="auto"/>
                <w:sz w:val="21"/>
                <w:szCs w:val="21"/>
                <w:highlight w:val="none"/>
              </w:rPr>
            </w:pPr>
            <w:r>
              <w:rPr>
                <w:rFonts w:hint="eastAsia" w:hAnsi="宋体"/>
                <w:b/>
                <w:color w:val="auto"/>
                <w:sz w:val="21"/>
                <w:szCs w:val="21"/>
                <w:highlight w:val="none"/>
              </w:rPr>
              <w:t>项目内容</w:t>
            </w:r>
          </w:p>
        </w:tc>
      </w:tr>
      <w:tr w14:paraId="6D7C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66" w:type="pct"/>
            <w:noWrap w:val="0"/>
            <w:vAlign w:val="center"/>
          </w:tcPr>
          <w:p w14:paraId="30CA88EC">
            <w:pPr>
              <w:spacing w:line="360" w:lineRule="auto"/>
              <w:jc w:val="center"/>
              <w:rPr>
                <w:rFonts w:hAnsi="宋体"/>
                <w:color w:val="auto"/>
                <w:sz w:val="21"/>
                <w:szCs w:val="21"/>
                <w:highlight w:val="none"/>
              </w:rPr>
            </w:pPr>
            <w:r>
              <w:rPr>
                <w:rFonts w:hint="eastAsia" w:hAnsi="宋体"/>
                <w:color w:val="auto"/>
                <w:sz w:val="21"/>
                <w:szCs w:val="21"/>
                <w:highlight w:val="none"/>
              </w:rPr>
              <w:t>包A</w:t>
            </w:r>
          </w:p>
        </w:tc>
        <w:tc>
          <w:tcPr>
            <w:tcW w:w="4033" w:type="pct"/>
            <w:noWrap w:val="0"/>
            <w:vAlign w:val="center"/>
          </w:tcPr>
          <w:p w14:paraId="7633EDA6">
            <w:pPr>
              <w:spacing w:line="360" w:lineRule="auto"/>
              <w:jc w:val="center"/>
              <w:rPr>
                <w:rFonts w:hint="default" w:hAns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田边村慧眼视频运维服务采购项目采购一项</w:t>
            </w:r>
          </w:p>
        </w:tc>
      </w:tr>
    </w:tbl>
    <w:p w14:paraId="76C540B1">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olor w:val="auto"/>
          <w:sz w:val="21"/>
          <w:szCs w:val="21"/>
          <w:highlight w:val="none"/>
        </w:rPr>
        <w:t>简要技术要求或</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rPr>
        <w:t>项目的性质：详细内容请参阅竞争性磋商文件第三</w:t>
      </w:r>
      <w:r>
        <w:rPr>
          <w:rFonts w:hint="eastAsia" w:ascii="宋体" w:hAnsi="宋体"/>
          <w:color w:val="auto"/>
          <w:sz w:val="21"/>
          <w:szCs w:val="21"/>
          <w:highlight w:val="none"/>
          <w:lang w:eastAsia="zh-CN"/>
        </w:rPr>
        <w:t>篇</w:t>
      </w:r>
      <w:r>
        <w:rPr>
          <w:rFonts w:hint="eastAsia" w:ascii="宋体" w:hAnsi="宋体" w:eastAsia="宋体"/>
          <w:color w:val="auto"/>
          <w:sz w:val="21"/>
          <w:szCs w:val="21"/>
          <w:highlight w:val="none"/>
        </w:rPr>
        <w:t>《用户需求书》</w:t>
      </w:r>
    </w:p>
    <w:p w14:paraId="2B660C26">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14:paraId="40D6486D">
      <w:pPr>
        <w:pStyle w:val="3"/>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val="0"/>
          <w:color w:val="auto"/>
          <w:sz w:val="21"/>
          <w:szCs w:val="21"/>
          <w:highlight w:val="none"/>
        </w:rPr>
      </w:pPr>
      <w:bookmarkStart w:id="22" w:name="_Toc28625"/>
      <w:bookmarkStart w:id="23" w:name="_Toc35393791"/>
      <w:bookmarkStart w:id="24" w:name="_Toc31691"/>
      <w:bookmarkStart w:id="25" w:name="_Toc28359080"/>
      <w:bookmarkStart w:id="26" w:name="_Toc25198"/>
      <w:bookmarkStart w:id="27" w:name="_Toc13371"/>
      <w:bookmarkStart w:id="28" w:name="_Toc28359003"/>
      <w:bookmarkStart w:id="29" w:name="_Toc35393622"/>
      <w:r>
        <w:rPr>
          <w:rFonts w:hint="eastAsia" w:ascii="宋体" w:hAnsi="宋体" w:eastAsia="宋体" w:cs="宋体"/>
          <w:b/>
          <w:bCs/>
          <w:color w:val="auto"/>
          <w:sz w:val="21"/>
          <w:szCs w:val="21"/>
          <w:highlight w:val="none"/>
        </w:rPr>
        <w:t>二、申请人的资格要求：</w:t>
      </w:r>
      <w:bookmarkEnd w:id="22"/>
      <w:bookmarkEnd w:id="23"/>
      <w:bookmarkEnd w:id="24"/>
      <w:bookmarkEnd w:id="25"/>
      <w:bookmarkEnd w:id="26"/>
      <w:bookmarkEnd w:id="27"/>
      <w:bookmarkEnd w:id="28"/>
      <w:bookmarkEnd w:id="29"/>
    </w:p>
    <w:p w14:paraId="5391BBE7">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rPr>
      </w:pPr>
      <w:bookmarkStart w:id="30" w:name="_Toc29919"/>
      <w:bookmarkStart w:id="31" w:name="_Toc16211"/>
      <w:bookmarkStart w:id="32" w:name="_Toc7315"/>
      <w:bookmarkStart w:id="33" w:name="_Toc8265"/>
      <w:bookmarkStart w:id="34" w:name="_Toc28359081"/>
      <w:bookmarkStart w:id="35" w:name="_Toc28359004"/>
      <w:r>
        <w:rPr>
          <w:rFonts w:hint="eastAsia" w:ascii="宋体" w:hAnsi="宋体" w:eastAsia="宋体"/>
          <w:color w:val="auto"/>
          <w:sz w:val="21"/>
          <w:szCs w:val="21"/>
          <w:highlight w:val="none"/>
        </w:rPr>
        <w:t>1.供应商应具备《政府采购法》第二十二条规定的条件，提供下列材料：</w:t>
      </w:r>
      <w:bookmarkEnd w:id="30"/>
      <w:bookmarkEnd w:id="31"/>
      <w:bookmarkEnd w:id="32"/>
      <w:bookmarkEnd w:id="33"/>
    </w:p>
    <w:p w14:paraId="45DC2E6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2E4C4229">
      <w:pPr>
        <w:widowControl/>
        <w:spacing w:line="360" w:lineRule="auto"/>
        <w:ind w:firstLine="420" w:firstLineChars="200"/>
        <w:rPr>
          <w:color w:val="auto"/>
          <w:sz w:val="20"/>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提供相关证明资料或参考响应文件格式“资格条件声明函”作相关承诺）</w:t>
      </w:r>
    </w:p>
    <w:p w14:paraId="12AACA39">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eastAsia="zh-CN"/>
        </w:rPr>
        <w:t>2023年度财务状况报告</w:t>
      </w:r>
      <w:r>
        <w:rPr>
          <w:rFonts w:hint="eastAsia" w:ascii="宋体" w:hAnsi="宋体"/>
          <w:color w:val="auto"/>
          <w:szCs w:val="21"/>
          <w:highlight w:val="none"/>
        </w:rPr>
        <w:t>或基本开户行出具的资信证明）。（提供相关证明资料或参考响应文件格式“资格条件声明函”作相关承诺）</w:t>
      </w:r>
    </w:p>
    <w:p w14:paraId="7BE5EE8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4）履行合同所必须的设备和专业技术能力：填报设备及专业技术能力情况，格式自拟。（提供相关证明资料或参考响应文件格式“资格条件声明函”作相关承诺）</w:t>
      </w:r>
    </w:p>
    <w:p w14:paraId="714446E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参加采购活动前3年内，在经营活动中没有重大违法记录。重大违法记录，是指供应商因违法经营受到刑事处罚或者责令停产停业、吊销许可证或者执照、较大数额罚款等行政处罚。（根据财库〔2023〕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677DB5AE">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 </w:t>
      </w:r>
    </w:p>
    <w:p w14:paraId="66F61275">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响应）。为本项目提供整体设计、规范编制或者项目管理、监理、检测等服务的供应商，不得再参与本项目投标（响应）。</w:t>
      </w:r>
    </w:p>
    <w:p w14:paraId="67720F4B">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lang w:eastAsia="zh-CN"/>
        </w:rPr>
      </w:pPr>
      <w:bookmarkStart w:id="36" w:name="_Toc26119"/>
      <w:bookmarkStart w:id="37" w:name="_Toc16617"/>
      <w:bookmarkStart w:id="38" w:name="_Toc4071"/>
      <w:bookmarkStart w:id="39" w:name="_Toc18344"/>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w:t>
      </w:r>
      <w:bookmarkEnd w:id="36"/>
      <w:bookmarkEnd w:id="37"/>
      <w:bookmarkEnd w:id="38"/>
      <w:bookmarkEnd w:id="39"/>
    </w:p>
    <w:p w14:paraId="495EB0C6">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（1）</w:t>
      </w:r>
      <w:r>
        <w:rPr>
          <w:rFonts w:hint="eastAsia" w:ascii="宋体" w:hAnsi="宋体"/>
          <w:color w:val="auto"/>
          <w:sz w:val="21"/>
          <w:szCs w:val="21"/>
          <w:highlight w:val="none"/>
          <w:lang w:val="en-US" w:eastAsia="zh-CN"/>
        </w:rPr>
        <w:t>无</w:t>
      </w:r>
      <w:r>
        <w:rPr>
          <w:rFonts w:hint="default" w:ascii="宋体" w:hAnsi="宋体" w:eastAsia="宋体"/>
          <w:color w:val="auto"/>
          <w:sz w:val="21"/>
          <w:szCs w:val="21"/>
          <w:highlight w:val="none"/>
          <w:lang w:val="en-US" w:eastAsia="zh-CN"/>
        </w:rPr>
        <w:t>。</w:t>
      </w:r>
    </w:p>
    <w:p w14:paraId="75C23811">
      <w:pPr>
        <w:pStyle w:val="3"/>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lang w:eastAsia="zh-CN"/>
        </w:rPr>
      </w:pPr>
      <w:bookmarkStart w:id="40" w:name="_Toc35393623"/>
      <w:bookmarkStart w:id="41" w:name="_Toc173"/>
      <w:bookmarkStart w:id="42" w:name="_Toc35393792"/>
      <w:bookmarkStart w:id="43" w:name="_Toc2137"/>
      <w:bookmarkStart w:id="44" w:name="_Toc18578"/>
      <w:bookmarkStart w:id="45" w:name="_Toc27443"/>
      <w:r>
        <w:rPr>
          <w:rFonts w:hint="eastAsia" w:ascii="宋体" w:hAnsi="宋体" w:eastAsia="宋体" w:cs="宋体"/>
          <w:b/>
          <w:bCs/>
          <w:color w:val="auto"/>
          <w:sz w:val="21"/>
          <w:szCs w:val="21"/>
          <w:highlight w:val="none"/>
        </w:rPr>
        <w:t>三、获取</w:t>
      </w:r>
      <w:bookmarkEnd w:id="34"/>
      <w:bookmarkEnd w:id="35"/>
      <w:bookmarkEnd w:id="40"/>
      <w:bookmarkEnd w:id="41"/>
      <w:bookmarkEnd w:id="42"/>
      <w:r>
        <w:rPr>
          <w:rFonts w:hint="eastAsia" w:ascii="宋体" w:hAnsi="宋体" w:cs="宋体"/>
          <w:b/>
          <w:bCs/>
          <w:color w:val="auto"/>
          <w:sz w:val="21"/>
          <w:szCs w:val="21"/>
          <w:highlight w:val="none"/>
          <w:lang w:val="en-US" w:eastAsia="zh-CN"/>
        </w:rPr>
        <w:t>竞争性磋商</w:t>
      </w:r>
      <w:r>
        <w:rPr>
          <w:rFonts w:hint="eastAsia" w:ascii="宋体" w:hAnsi="宋体" w:cs="宋体"/>
          <w:b/>
          <w:bCs/>
          <w:color w:val="auto"/>
          <w:sz w:val="21"/>
          <w:szCs w:val="21"/>
          <w:highlight w:val="none"/>
          <w:lang w:eastAsia="zh-CN"/>
        </w:rPr>
        <w:t>文件</w:t>
      </w:r>
      <w:bookmarkEnd w:id="43"/>
      <w:bookmarkEnd w:id="44"/>
      <w:bookmarkEnd w:id="45"/>
    </w:p>
    <w:p w14:paraId="0580FC86">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项目公示时间：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eastAsia="zh-CN"/>
        </w:rPr>
        <w:t>日</w:t>
      </w:r>
    </w:p>
    <w:p w14:paraId="1C703877">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val="en-US" w:eastAsia="zh-CN"/>
        </w:rPr>
        <w:t>竞争性磋商</w:t>
      </w:r>
      <w:r>
        <w:rPr>
          <w:rFonts w:hint="eastAsia" w:ascii="宋体" w:hAnsi="宋体" w:cs="宋体"/>
          <w:color w:val="auto"/>
          <w:sz w:val="21"/>
          <w:szCs w:val="21"/>
          <w:highlight w:val="none"/>
          <w:lang w:eastAsia="zh-CN"/>
        </w:rPr>
        <w:t>文件</w:t>
      </w: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29</w:t>
      </w:r>
      <w:bookmarkStart w:id="313" w:name="_GoBack"/>
      <w:bookmarkEnd w:id="313"/>
      <w:r>
        <w:rPr>
          <w:rFonts w:hint="eastAsia" w:ascii="宋体" w:hAnsi="宋体" w:eastAsia="宋体" w:cs="宋体"/>
          <w:color w:val="auto"/>
          <w:sz w:val="21"/>
          <w:szCs w:val="21"/>
          <w:highlight w:val="none"/>
          <w:lang w:eastAsia="zh-CN"/>
        </w:rPr>
        <w:t>日（节假日除外），上午9：00～12：00，下午14：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0～17：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0（北京时间）； </w:t>
      </w:r>
    </w:p>
    <w:p w14:paraId="6908BC8F">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注：（1）现场支持现金支付、微信支付、支付宝支付等支付方式，现场填写“获取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登记表”并将相应表格交予我司简小姐。</w:t>
      </w:r>
    </w:p>
    <w:p w14:paraId="7C41FB33">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电子版可</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相关招标信息公告下自行下载。</w:t>
      </w:r>
    </w:p>
    <w:p w14:paraId="55698DA4">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地点：东莞市南城街道鸿福西路81号国际商会大厦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14:paraId="557B0BB3">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简海欣</w:t>
      </w:r>
    </w:p>
    <w:p w14:paraId="4E0BDD01">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联系电话：0769-</w:t>
      </w:r>
      <w:r>
        <w:rPr>
          <w:rFonts w:hint="eastAsia" w:ascii="宋体" w:hAnsi="宋体" w:eastAsia="宋体" w:cs="宋体"/>
          <w:color w:val="auto"/>
          <w:sz w:val="21"/>
          <w:szCs w:val="21"/>
          <w:highlight w:val="none"/>
          <w:lang w:val="en-US" w:eastAsia="zh-CN"/>
        </w:rPr>
        <w:t>22980090</w:t>
      </w:r>
    </w:p>
    <w:p w14:paraId="598EB55C">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获取方式：</w:t>
      </w:r>
      <w:r>
        <w:rPr>
          <w:rFonts w:hint="eastAsia" w:ascii="宋体" w:hAnsi="宋体"/>
          <w:color w:val="auto"/>
          <w:szCs w:val="21"/>
          <w:highlight w:val="none"/>
          <w:lang w:eastAsia="zh-CN"/>
        </w:rPr>
        <w:t>国顺招标网</w:t>
      </w:r>
      <w:r>
        <w:rPr>
          <w:rFonts w:hint="eastAsia" w:ascii="宋体" w:hAnsi="宋体" w:cs="宋体"/>
          <w:color w:val="auto"/>
          <w:szCs w:val="21"/>
          <w:highlight w:val="none"/>
          <w:lang w:val="en-US" w:eastAsia="zh-CN"/>
        </w:rPr>
        <w:t>上报名或现场领购</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在领购</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时须提供如下证明材料：《营业执照》复印件（加盖公章）或《事业单位法人证书》复印件（加盖公章）或其他主体证书复印件（加盖公章），自然人参加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须提供自然人的身份证明材料（未按上述方式获取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的供应商，其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资格将被视为无效）。</w:t>
      </w:r>
    </w:p>
    <w:p w14:paraId="4130CEAD">
      <w:pPr>
        <w:keepNext w:val="0"/>
        <w:keepLines w:val="0"/>
        <w:pageBreakBefore w:val="0"/>
        <w:widowControl w:val="0"/>
        <w:kinsoku/>
        <w:wordWrap/>
        <w:overflowPunct/>
        <w:topLinePunct w:val="0"/>
        <w:autoSpaceDE/>
        <w:autoSpaceDN/>
        <w:bidi w:val="0"/>
        <w:adjustRightInd/>
        <w:snapToGrid/>
        <w:spacing w:line="360" w:lineRule="auto"/>
        <w:ind w:left="0" w:leftChars="0"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00.00元</w:t>
      </w:r>
    </w:p>
    <w:p w14:paraId="47105B02">
      <w:pPr>
        <w:pStyle w:val="3"/>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46" w:name="_Toc28359082"/>
      <w:bookmarkStart w:id="47" w:name="_Toc28359005"/>
      <w:bookmarkStart w:id="48" w:name="_Toc35393624"/>
      <w:bookmarkStart w:id="49" w:name="_Toc27404"/>
      <w:bookmarkStart w:id="50" w:name="_Toc28585"/>
      <w:bookmarkStart w:id="51" w:name="_Toc35393793"/>
      <w:bookmarkStart w:id="52" w:name="_Toc10322"/>
      <w:bookmarkStart w:id="53" w:name="_Toc28435"/>
      <w:r>
        <w:rPr>
          <w:rFonts w:hint="eastAsia" w:ascii="宋体" w:hAnsi="宋体" w:eastAsia="宋体" w:cs="宋体"/>
          <w:b/>
          <w:bCs/>
          <w:color w:val="auto"/>
          <w:sz w:val="21"/>
          <w:szCs w:val="21"/>
          <w:highlight w:val="none"/>
        </w:rPr>
        <w:t>四、提交</w:t>
      </w:r>
      <w:bookmarkEnd w:id="46"/>
      <w:bookmarkEnd w:id="47"/>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开启时间</w:t>
      </w:r>
      <w:r>
        <w:rPr>
          <w:rFonts w:hint="eastAsia" w:ascii="宋体" w:hAnsi="宋体" w:eastAsia="宋体" w:cs="宋体"/>
          <w:b/>
          <w:bCs/>
          <w:color w:val="auto"/>
          <w:sz w:val="21"/>
          <w:szCs w:val="21"/>
          <w:highlight w:val="none"/>
        </w:rPr>
        <w:t>和地点</w:t>
      </w:r>
      <w:bookmarkEnd w:id="48"/>
      <w:bookmarkEnd w:id="49"/>
      <w:bookmarkEnd w:id="50"/>
      <w:bookmarkEnd w:id="51"/>
      <w:bookmarkEnd w:id="52"/>
      <w:bookmarkEnd w:id="53"/>
    </w:p>
    <w:p w14:paraId="3F5B8E39">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截止时间：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2024年10</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15</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0</w:t>
      </w:r>
      <w:r>
        <w:rPr>
          <w:rFonts w:hint="default" w:ascii="宋体" w:hAnsi="宋体" w:cs="宋体"/>
          <w:bCs/>
          <w:color w:val="auto"/>
          <w:sz w:val="21"/>
          <w:szCs w:val="21"/>
          <w:highlight w:val="none"/>
          <w:u w:val="single"/>
          <w:lang w:val="en-US" w:eastAsia="zh-CN"/>
        </w:rPr>
        <w:t>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14:paraId="6B0817DC">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r>
        <w:rPr>
          <w:rFonts w:hint="eastAsia" w:ascii="宋体" w:hAnsi="宋体"/>
          <w:bCs/>
          <w:color w:val="auto"/>
          <w:sz w:val="21"/>
          <w:szCs w:val="21"/>
          <w:highlight w:val="none"/>
          <w:lang w:eastAsia="zh-CN"/>
        </w:rPr>
        <w:t>。</w:t>
      </w:r>
    </w:p>
    <w:p w14:paraId="29FE01D6">
      <w:pPr>
        <w:pStyle w:val="3"/>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4" w:name="_Toc35393794"/>
      <w:bookmarkStart w:id="55" w:name="_Toc26299"/>
      <w:bookmarkStart w:id="56" w:name="_Toc17857"/>
      <w:bookmarkStart w:id="57" w:name="_Toc1202"/>
      <w:bookmarkStart w:id="58" w:name="_Toc25695"/>
      <w:bookmarkStart w:id="59" w:name="_Toc28359084"/>
      <w:bookmarkStart w:id="60" w:name="_Toc28359007"/>
      <w:bookmarkStart w:id="61" w:name="_Toc35393625"/>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54"/>
      <w:bookmarkEnd w:id="55"/>
      <w:bookmarkEnd w:id="56"/>
      <w:bookmarkEnd w:id="57"/>
      <w:bookmarkEnd w:id="58"/>
      <w:bookmarkEnd w:id="59"/>
      <w:bookmarkEnd w:id="60"/>
      <w:bookmarkEnd w:id="61"/>
    </w:p>
    <w:p w14:paraId="6E0554CF">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14:paraId="639AAD32">
      <w:pPr>
        <w:pStyle w:val="3"/>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62" w:name="_Toc1519"/>
      <w:bookmarkStart w:id="63" w:name="_Toc6612"/>
      <w:bookmarkStart w:id="64" w:name="_Toc35393795"/>
      <w:bookmarkStart w:id="65" w:name="_Toc35393626"/>
      <w:bookmarkStart w:id="66" w:name="_Toc9116"/>
      <w:bookmarkStart w:id="67" w:name="_Toc25010"/>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62"/>
      <w:bookmarkEnd w:id="63"/>
      <w:bookmarkEnd w:id="64"/>
      <w:bookmarkEnd w:id="65"/>
      <w:bookmarkEnd w:id="66"/>
      <w:bookmarkEnd w:id="67"/>
    </w:p>
    <w:p w14:paraId="4A82A48E">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68" w:name="_Toc28359008"/>
      <w:bookmarkStart w:id="69" w:name="_Toc35393796"/>
      <w:bookmarkStart w:id="70" w:name="_Toc28359085"/>
      <w:bookmarkStart w:id="71" w:name="_Toc35393627"/>
      <w:r>
        <w:rPr>
          <w:rFonts w:hint="eastAsia" w:ascii="宋体" w:hAnsi="宋体" w:eastAsia="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olor w:val="auto"/>
          <w:sz w:val="21"/>
          <w:szCs w:val="21"/>
          <w:highlight w:val="none"/>
        </w:rPr>
        <w:t>公示/下载媒体</w:t>
      </w:r>
    </w:p>
    <w:p w14:paraId="40BFC746">
      <w:pPr>
        <w:keepNext w:val="0"/>
        <w:keepLines w:val="0"/>
        <w:pageBreakBefore w:val="0"/>
        <w:widowControl/>
        <w:kinsoku/>
        <w:wordWrap w:val="0"/>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中国政府采购网(http://www.ccgp.gov.cn/)</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w:t>
      </w:r>
      <w:r>
        <w:rPr>
          <w:rFonts w:hint="eastAsia" w:ascii="宋体" w:hAnsi="宋体" w:eastAsia="宋体"/>
          <w:color w:val="auto"/>
          <w:sz w:val="21"/>
          <w:szCs w:val="21"/>
          <w:highlight w:val="none"/>
        </w:rPr>
        <w:t xml:space="preserve"> </w:t>
      </w:r>
    </w:p>
    <w:p w14:paraId="1FBE4B51">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拟参加本项目的潜在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须在规定时间内按要求获取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后方可参与本项目的</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后而不参加投标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，请在</w:t>
      </w:r>
      <w:r>
        <w:rPr>
          <w:rFonts w:hint="eastAsia" w:ascii="宋体" w:hAnsi="宋体"/>
          <w:color w:val="auto"/>
          <w:sz w:val="21"/>
          <w:szCs w:val="21"/>
          <w:highlight w:val="none"/>
          <w:lang w:val="en-US" w:eastAsia="zh-CN"/>
        </w:rPr>
        <w:t>提交响应文件截止</w:t>
      </w:r>
      <w:r>
        <w:rPr>
          <w:rFonts w:hint="eastAsia" w:ascii="宋体" w:hAnsi="宋体" w:eastAsia="宋体"/>
          <w:color w:val="auto"/>
          <w:sz w:val="21"/>
          <w:szCs w:val="21"/>
          <w:highlight w:val="none"/>
        </w:rPr>
        <w:t>日期三日前以书面形式通知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w:t>
      </w:r>
    </w:p>
    <w:p w14:paraId="01ACC199">
      <w:pPr>
        <w:pStyle w:val="3"/>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72" w:name="_Toc8358"/>
      <w:bookmarkStart w:id="73" w:name="_Toc12281"/>
      <w:bookmarkStart w:id="74" w:name="_Toc5139"/>
      <w:bookmarkStart w:id="75" w:name="_Toc22586"/>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提出询问，请按以下方式联系。</w:t>
      </w:r>
      <w:bookmarkEnd w:id="68"/>
      <w:bookmarkEnd w:id="69"/>
      <w:bookmarkEnd w:id="70"/>
      <w:bookmarkEnd w:id="71"/>
      <w:bookmarkEnd w:id="72"/>
      <w:bookmarkEnd w:id="73"/>
      <w:bookmarkEnd w:id="74"/>
      <w:bookmarkEnd w:id="75"/>
    </w:p>
    <w:p w14:paraId="42532592">
      <w:pPr>
        <w:pageBreakBefore w:val="0"/>
        <w:widowControl/>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b/>
          <w:bCs/>
          <w:color w:val="auto"/>
          <w:sz w:val="21"/>
          <w:szCs w:val="21"/>
          <w:highlight w:val="none"/>
        </w:rPr>
      </w:pPr>
      <w:bookmarkStart w:id="76" w:name="_Toc30277"/>
      <w:bookmarkStart w:id="77" w:name="_Toc31577"/>
      <w:bookmarkStart w:id="78" w:name="_Toc7403"/>
      <w:bookmarkStart w:id="79" w:name="_Toc30615"/>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信息</w:t>
      </w:r>
      <w:bookmarkEnd w:id="76"/>
      <w:bookmarkEnd w:id="77"/>
      <w:bookmarkEnd w:id="78"/>
      <w:bookmarkEnd w:id="79"/>
    </w:p>
    <w:p w14:paraId="4085E1D4">
      <w:pPr>
        <w:spacing w:line="360" w:lineRule="auto"/>
        <w:ind w:left="263" w:hanging="262" w:hangingChars="125"/>
        <w:rPr>
          <w:rFonts w:hint="eastAsia" w:ascii="宋体" w:hAnsi="宋体" w:eastAsia="宋体" w:cs="宋体"/>
          <w:color w:val="auto"/>
          <w:szCs w:val="21"/>
          <w:highlight w:val="none"/>
          <w:lang w:eastAsia="zh-CN"/>
        </w:rPr>
      </w:pPr>
      <w:bookmarkStart w:id="80" w:name="_Toc28359086"/>
      <w:bookmarkStart w:id="81" w:name="_Toc28359009"/>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东莞市石排镇田边股份经济联合社</w:t>
      </w:r>
    </w:p>
    <w:p w14:paraId="140E972E">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val="en-US" w:eastAsia="zh-CN"/>
        </w:rPr>
        <w:t>东莞市石排镇</w:t>
      </w:r>
    </w:p>
    <w:p w14:paraId="54B9DCC2">
      <w:pPr>
        <w:spacing w:line="360" w:lineRule="auto"/>
        <w:ind w:left="263" w:hanging="262" w:hangingChars="125"/>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eastAsia="宋体"/>
          <w:bCs/>
          <w:color w:val="auto"/>
          <w:sz w:val="21"/>
          <w:szCs w:val="21"/>
          <w:highlight w:val="none"/>
        </w:rPr>
        <w:t>肖树球</w:t>
      </w:r>
    </w:p>
    <w:p w14:paraId="40706745">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cs="宋体"/>
          <w:color w:val="auto"/>
          <w:szCs w:val="21"/>
          <w:highlight w:val="none"/>
        </w:rPr>
        <w:t>联系方式：</w:t>
      </w:r>
      <w:r>
        <w:rPr>
          <w:rFonts w:hint="eastAsia" w:ascii="宋体" w:hAnsi="宋体" w:eastAsia="宋体"/>
          <w:bCs/>
          <w:color w:val="auto"/>
          <w:sz w:val="21"/>
          <w:szCs w:val="21"/>
          <w:highlight w:val="none"/>
        </w:rPr>
        <w:t>0769-86517088</w:t>
      </w:r>
    </w:p>
    <w:p w14:paraId="0F10BEC1">
      <w:pPr>
        <w:pageBreakBefore w:val="0"/>
        <w:kinsoku/>
        <w:wordWrap/>
        <w:overflowPunct/>
        <w:topLinePunct w:val="0"/>
        <w:autoSpaceDE/>
        <w:autoSpaceDN/>
        <w:bidi w:val="0"/>
        <w:adjustRightInd/>
        <w:snapToGrid/>
        <w:spacing w:line="360" w:lineRule="auto"/>
        <w:ind w:left="264" w:leftChars="0" w:hanging="264" w:hangingChars="125"/>
        <w:jc w:val="left"/>
        <w:textAlignment w:val="auto"/>
        <w:outlineLvl w:val="2"/>
        <w:rPr>
          <w:rFonts w:hint="eastAsia" w:ascii="宋体" w:hAnsi="宋体" w:eastAsia="宋体" w:cs="宋体"/>
          <w:b/>
          <w:bCs/>
          <w:color w:val="auto"/>
          <w:sz w:val="21"/>
          <w:szCs w:val="21"/>
          <w:highlight w:val="none"/>
          <w:u w:val="none"/>
        </w:rPr>
      </w:pPr>
      <w:bookmarkStart w:id="82" w:name="_Toc4580"/>
      <w:bookmarkStart w:id="83" w:name="_Toc10880"/>
      <w:bookmarkStart w:id="84" w:name="_Toc11561"/>
      <w:bookmarkStart w:id="85" w:name="_Toc25259"/>
      <w:r>
        <w:rPr>
          <w:rFonts w:hint="eastAsia" w:ascii="宋体" w:hAnsi="宋体" w:eastAsia="宋体" w:cs="宋体"/>
          <w:b/>
          <w:bCs/>
          <w:color w:val="auto"/>
          <w:sz w:val="21"/>
          <w:szCs w:val="21"/>
          <w:highlight w:val="none"/>
          <w:u w:val="none"/>
        </w:rPr>
        <w:t>2.</w:t>
      </w:r>
      <w:r>
        <w:rPr>
          <w:rFonts w:hint="eastAsia" w:ascii="宋体" w:hAnsi="宋体" w:cs="宋体"/>
          <w:b/>
          <w:bCs/>
          <w:color w:val="auto"/>
          <w:sz w:val="21"/>
          <w:szCs w:val="21"/>
          <w:highlight w:val="none"/>
          <w:u w:val="none"/>
          <w:lang w:val="en-US" w:eastAsia="zh-CN"/>
        </w:rPr>
        <w:t>采购代理机构</w:t>
      </w:r>
      <w:r>
        <w:rPr>
          <w:rFonts w:hint="eastAsia" w:ascii="宋体" w:hAnsi="宋体" w:eastAsia="宋体" w:cs="宋体"/>
          <w:b/>
          <w:bCs/>
          <w:color w:val="auto"/>
          <w:sz w:val="21"/>
          <w:szCs w:val="21"/>
          <w:highlight w:val="none"/>
          <w:u w:val="none"/>
        </w:rPr>
        <w:t>信息</w:t>
      </w:r>
      <w:bookmarkEnd w:id="80"/>
      <w:bookmarkEnd w:id="81"/>
      <w:bookmarkEnd w:id="82"/>
      <w:bookmarkEnd w:id="83"/>
      <w:bookmarkEnd w:id="84"/>
      <w:bookmarkEnd w:id="85"/>
    </w:p>
    <w:p w14:paraId="7B57456E">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国顺招标有限公司</w:t>
      </w:r>
    </w:p>
    <w:p w14:paraId="1B5B6DE0">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14:paraId="37020782">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86" w:name="_Toc28359087"/>
      <w:bookmarkStart w:id="87" w:name="_Toc28359010"/>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14:paraId="5205403D">
      <w:pPr>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color w:val="auto"/>
          <w:sz w:val="21"/>
          <w:szCs w:val="21"/>
          <w:highlight w:val="none"/>
          <w:u w:val="none"/>
        </w:rPr>
      </w:pPr>
      <w:bookmarkStart w:id="88" w:name="_Toc15543"/>
      <w:bookmarkStart w:id="89" w:name="_Toc28659"/>
      <w:bookmarkStart w:id="90" w:name="_Toc9440"/>
      <w:bookmarkStart w:id="91" w:name="_Toc18257"/>
      <w:r>
        <w:rPr>
          <w:rFonts w:hint="eastAsia" w:ascii="宋体" w:hAnsi="宋体" w:eastAsia="宋体" w:cs="宋体"/>
          <w:b/>
          <w:bCs/>
          <w:color w:val="auto"/>
          <w:sz w:val="21"/>
          <w:szCs w:val="21"/>
          <w:highlight w:val="none"/>
          <w:u w:val="none"/>
        </w:rPr>
        <w:t>3.项目联系方式</w:t>
      </w:r>
      <w:bookmarkEnd w:id="86"/>
      <w:bookmarkEnd w:id="87"/>
      <w:bookmarkEnd w:id="88"/>
      <w:bookmarkEnd w:id="89"/>
      <w:bookmarkEnd w:id="90"/>
      <w:bookmarkEnd w:id="91"/>
    </w:p>
    <w:p w14:paraId="4582109B">
      <w:pPr>
        <w:pStyle w:val="11"/>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val="en-US" w:eastAsia="zh-CN"/>
        </w:rPr>
        <w:t>陈锦涛</w:t>
      </w:r>
    </w:p>
    <w:p w14:paraId="384DFBDD">
      <w:pPr>
        <w:pStyle w:val="11"/>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14:paraId="69C16308">
      <w:pPr>
        <w:rPr>
          <w:rFonts w:hint="eastAsia"/>
          <w:color w:val="auto"/>
          <w:highlight w:val="none"/>
          <w:lang w:val="en-US" w:eastAsia="zh-CN"/>
        </w:rPr>
      </w:pPr>
      <w:bookmarkStart w:id="92" w:name="_Toc26573"/>
      <w:r>
        <w:rPr>
          <w:rFonts w:hint="eastAsia"/>
          <w:color w:val="auto"/>
          <w:highlight w:val="none"/>
          <w:lang w:val="en-US" w:eastAsia="zh-CN"/>
        </w:rPr>
        <w:br w:type="page"/>
      </w:r>
    </w:p>
    <w:p w14:paraId="38911497">
      <w:pPr>
        <w:pStyle w:val="2"/>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供应商须知</w:t>
      </w:r>
      <w:bookmarkEnd w:id="92"/>
    </w:p>
    <w:p w14:paraId="44F79155">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lang w:val="zh-CN"/>
        </w:rPr>
      </w:pPr>
      <w:bookmarkStart w:id="93" w:name="_Toc497983494"/>
      <w:bookmarkStart w:id="94" w:name="_Toc396137231"/>
      <w:bookmarkStart w:id="95" w:name="_Toc30510"/>
      <w:bookmarkStart w:id="96" w:name="_Toc413402429"/>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bookmarkEnd w:id="93"/>
      <w:bookmarkEnd w:id="94"/>
      <w:bookmarkEnd w:id="95"/>
      <w:bookmarkEnd w:id="96"/>
    </w:p>
    <w:tbl>
      <w:tblPr>
        <w:tblStyle w:val="17"/>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5ECC68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14:paraId="7F504EC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14:paraId="476C1D5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14:paraId="68D1A7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14:paraId="2421ED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7EDA1A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26598B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FF2D514">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自筹资金</w:t>
            </w:r>
            <w:r>
              <w:rPr>
                <w:rFonts w:hint="eastAsia" w:ascii="宋体" w:hAnsi="宋体" w:eastAsia="宋体" w:cs="宋体"/>
                <w:color w:val="auto"/>
                <w:sz w:val="21"/>
                <w:szCs w:val="21"/>
                <w:highlight w:val="none"/>
              </w:rPr>
              <w:t>。</w:t>
            </w:r>
          </w:p>
        </w:tc>
      </w:tr>
      <w:tr w14:paraId="35DC98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195E0B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4BC9B5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705282C7">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不集中组织，由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自行踏勘。</w:t>
            </w:r>
          </w:p>
        </w:tc>
      </w:tr>
      <w:tr w14:paraId="43071F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545A0A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484015E">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2ED1D90">
            <w:pPr>
              <w:autoSpaceDE/>
              <w:autoSpaceDN/>
              <w:adjustRightInd/>
              <w:spacing w:line="360" w:lineRule="auto"/>
              <w:jc w:val="both"/>
              <w:rPr>
                <w:rFonts w:hint="eastAsia" w:ascii="宋体" w:hAnsi="宋体" w:eastAsia="宋体" w:cs="宋体"/>
                <w:color w:val="auto"/>
                <w:sz w:val="21"/>
                <w:szCs w:val="21"/>
                <w:highlight w:val="none"/>
              </w:rPr>
            </w:pPr>
            <w:r>
              <w:rPr>
                <w:rFonts w:hint="eastAsia"/>
                <w:color w:val="auto"/>
                <w:sz w:val="21"/>
                <w:szCs w:val="28"/>
                <w:highlight w:val="none"/>
                <w:lang w:eastAsia="zh-CN"/>
              </w:rPr>
              <w:t>供应商</w:t>
            </w:r>
            <w:r>
              <w:rPr>
                <w:rFonts w:hint="eastAsia"/>
                <w:color w:val="auto"/>
                <w:sz w:val="21"/>
                <w:szCs w:val="28"/>
                <w:highlight w:val="none"/>
              </w:rPr>
              <w:t>应准备一份“</w:t>
            </w:r>
            <w:r>
              <w:rPr>
                <w:rFonts w:hint="eastAsia"/>
                <w:color w:val="auto"/>
                <w:sz w:val="21"/>
                <w:szCs w:val="28"/>
                <w:highlight w:val="none"/>
                <w:lang w:eastAsia="zh-CN"/>
              </w:rPr>
              <w:t>报价文件</w:t>
            </w:r>
            <w:r>
              <w:rPr>
                <w:rFonts w:hint="eastAsia"/>
                <w:color w:val="auto"/>
                <w:sz w:val="21"/>
                <w:szCs w:val="28"/>
                <w:highlight w:val="none"/>
              </w:rPr>
              <w:t>”、一份“</w:t>
            </w:r>
            <w:r>
              <w:rPr>
                <w:rFonts w:hint="eastAsia"/>
                <w:color w:val="auto"/>
                <w:sz w:val="21"/>
                <w:szCs w:val="28"/>
                <w:highlight w:val="none"/>
                <w:lang w:eastAsia="zh-CN"/>
              </w:rPr>
              <w:t>响应文件</w:t>
            </w:r>
            <w:r>
              <w:rPr>
                <w:rFonts w:hint="eastAsia"/>
                <w:color w:val="auto"/>
                <w:sz w:val="21"/>
                <w:szCs w:val="28"/>
                <w:highlight w:val="none"/>
              </w:rPr>
              <w:t>电子文件”、一份正本和</w:t>
            </w:r>
            <w:r>
              <w:rPr>
                <w:rFonts w:hint="eastAsia"/>
                <w:color w:val="auto"/>
                <w:sz w:val="21"/>
                <w:szCs w:val="28"/>
                <w:highlight w:val="none"/>
                <w:lang w:val="en-US" w:eastAsia="zh-CN"/>
              </w:rPr>
              <w:t>三</w:t>
            </w:r>
            <w:r>
              <w:rPr>
                <w:rFonts w:hint="eastAsia"/>
                <w:color w:val="auto"/>
                <w:sz w:val="21"/>
                <w:szCs w:val="28"/>
                <w:highlight w:val="none"/>
              </w:rPr>
              <w:t>份副本“</w:t>
            </w:r>
            <w:r>
              <w:rPr>
                <w:rFonts w:hint="eastAsia"/>
                <w:color w:val="auto"/>
                <w:sz w:val="21"/>
                <w:szCs w:val="28"/>
                <w:highlight w:val="none"/>
                <w:lang w:eastAsia="zh-CN"/>
              </w:rPr>
              <w:t>响应文件</w:t>
            </w:r>
            <w:r>
              <w:rPr>
                <w:rFonts w:hint="eastAsia"/>
                <w:color w:val="auto"/>
                <w:sz w:val="21"/>
                <w:szCs w:val="28"/>
                <w:highlight w:val="none"/>
              </w:rPr>
              <w:t>”。在每一份</w:t>
            </w:r>
            <w:r>
              <w:rPr>
                <w:rFonts w:hint="eastAsia"/>
                <w:color w:val="auto"/>
                <w:sz w:val="21"/>
                <w:szCs w:val="28"/>
                <w:highlight w:val="none"/>
                <w:lang w:eastAsia="zh-CN"/>
              </w:rPr>
              <w:t>响应文件</w:t>
            </w:r>
            <w:r>
              <w:rPr>
                <w:rFonts w:hint="eastAsia"/>
                <w:color w:val="auto"/>
                <w:sz w:val="21"/>
                <w:szCs w:val="28"/>
                <w:highlight w:val="none"/>
              </w:rPr>
              <w:t>上编上目录（目录内的页码必须与实际内容对应）、页次，装订成册（不允许使用活页夹），并要明确注明“正本”或“副本”，一旦正本和副本发现差异，以正本为准。</w:t>
            </w:r>
          </w:p>
        </w:tc>
      </w:tr>
      <w:tr w14:paraId="5D0A9C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275771C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28D2623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CB85D66">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报价超出本项目采购预算金额/最高限价的为无效标。</w:t>
            </w:r>
          </w:p>
        </w:tc>
      </w:tr>
      <w:tr w14:paraId="6F86A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0C911AF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8A3CCC4">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保证金</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0C52C49">
            <w:pPr>
              <w:autoSpaceDE/>
              <w:autoSpaceDN/>
              <w:adjustRightInd/>
              <w:spacing w:line="360" w:lineRule="auto"/>
              <w:jc w:val="both"/>
              <w:rPr>
                <w:rFonts w:hint="default"/>
                <w:color w:val="auto"/>
                <w:highlight w:val="none"/>
                <w:lang w:val="en-US"/>
              </w:rPr>
            </w:pPr>
            <w:r>
              <w:rPr>
                <w:rFonts w:hint="eastAsia" w:ascii="宋体" w:hAnsi="宋体" w:cs="宋体"/>
                <w:color w:val="auto"/>
                <w:sz w:val="21"/>
                <w:szCs w:val="21"/>
                <w:highlight w:val="none"/>
                <w:lang w:val="en-US" w:eastAsia="zh-CN"/>
              </w:rPr>
              <w:t>本项目不收取响应保证金。</w:t>
            </w:r>
          </w:p>
        </w:tc>
      </w:tr>
      <w:tr w14:paraId="09777C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590D007A">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6C9F81E">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磋商小组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148EB262">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成员共</w:t>
            </w:r>
            <w:r>
              <w:rPr>
                <w:rFonts w:hint="eastAsia" w:ascii="宋体" w:hAnsi="宋体" w:cs="宋体"/>
                <w:b/>
                <w:color w:val="auto"/>
                <w:sz w:val="21"/>
                <w:szCs w:val="21"/>
                <w:highlight w:val="none"/>
                <w:u w:val="single"/>
                <w:lang w:val="en-US" w:eastAsia="zh-CN"/>
              </w:rPr>
              <w:t>3</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其中</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代表1名；技术、经济等方面的专家</w:t>
            </w:r>
            <w:r>
              <w:rPr>
                <w:rFonts w:hint="eastAsia" w:ascii="宋体" w:hAnsi="宋体" w:cs="宋体"/>
                <w:b/>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由</w:t>
            </w:r>
            <w:r>
              <w:rPr>
                <w:rFonts w:hint="eastAsia" w:ascii="宋体" w:hAnsi="宋体" w:eastAsia="宋体" w:cs="宋体"/>
                <w:color w:val="auto"/>
                <w:sz w:val="21"/>
                <w:szCs w:val="21"/>
                <w:highlight w:val="none"/>
              </w:rPr>
              <w:t>专家库中随机抽取确定。</w:t>
            </w:r>
          </w:p>
        </w:tc>
      </w:tr>
      <w:tr w14:paraId="3F882F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741942F6">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17C7B6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3088B08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449A5C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9279A4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3866D7E6">
            <w:pPr>
              <w:spacing w:line="360" w:lineRule="auto"/>
              <w:ind w:right="-38" w:rightChars="-1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2090F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中国政府采购网</w:t>
            </w:r>
            <w:r>
              <w:rPr>
                <w:rFonts w:hint="eastAsia" w:ascii="宋体" w:hAnsi="宋体" w:cs="宋体"/>
                <w:color w:val="auto"/>
                <w:kern w:val="2"/>
                <w:sz w:val="21"/>
                <w:szCs w:val="21"/>
                <w:highlight w:val="none"/>
                <w:lang w:val="en-US" w:eastAsia="zh-CN"/>
              </w:rPr>
              <w:t>及</w:t>
            </w:r>
            <w:r>
              <w:rPr>
                <w:rFonts w:hint="eastAsia" w:ascii="宋体" w:hAnsi="宋体"/>
                <w:color w:val="auto"/>
                <w:szCs w:val="21"/>
                <w:highlight w:val="none"/>
                <w:lang w:eastAsia="zh-CN"/>
              </w:rPr>
              <w:t>国顺招标网</w:t>
            </w:r>
            <w:r>
              <w:rPr>
                <w:rFonts w:hint="eastAsia" w:ascii="宋体" w:hAnsi="宋体" w:eastAsia="宋体" w:cs="宋体"/>
                <w:color w:val="auto"/>
                <w:kern w:val="2"/>
                <w:sz w:val="21"/>
                <w:szCs w:val="21"/>
                <w:highlight w:val="none"/>
                <w:lang w:val="zh-CN"/>
              </w:rPr>
              <w:t>。</w:t>
            </w:r>
          </w:p>
        </w:tc>
      </w:tr>
      <w:tr w14:paraId="668D38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849052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9741447">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履约保证金</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D0354D5">
            <w:pPr>
              <w:spacing w:line="360" w:lineRule="auto"/>
              <w:rPr>
                <w:rFonts w:hint="default" w:ascii="宋体" w:hAnsi="宋体" w:eastAsia="宋体" w:cs="宋体"/>
                <w:b/>
                <w:bCs/>
                <w:color w:val="auto"/>
                <w:sz w:val="21"/>
                <w:szCs w:val="21"/>
                <w:highlight w:val="none"/>
                <w:lang w:val="en-US" w:eastAsia="zh-CN"/>
              </w:rPr>
            </w:pPr>
            <w:r>
              <w:rPr>
                <w:rFonts w:hint="eastAsia" w:ascii="宋体" w:hAnsi="宋体" w:cs="宋体"/>
                <w:bCs/>
                <w:color w:val="auto"/>
                <w:sz w:val="21"/>
                <w:szCs w:val="21"/>
                <w:highlight w:val="none"/>
                <w:lang w:val="en-US" w:eastAsia="zh-CN"/>
              </w:rPr>
              <w:t>本项目不收取履约保证金。</w:t>
            </w:r>
          </w:p>
        </w:tc>
      </w:tr>
      <w:tr w14:paraId="08D26B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61E76EB">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9DFD06B">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77DA7918">
            <w:pPr>
              <w:numPr>
                <w:ilvl w:val="0"/>
                <w:numId w:val="4"/>
              </w:num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国家计委[计价格[2002]1980号]文和国家发改委[发改价格[2011]534号]文及相关规定向</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服务费最低收费标准为</w:t>
            </w:r>
            <w:r>
              <w:rPr>
                <w:rFonts w:hint="eastAsia" w:ascii="宋体" w:hAnsi="宋体" w:cs="宋体"/>
                <w:color w:val="auto"/>
                <w:highlight w:val="none"/>
                <w:lang w:val="en-US" w:eastAsia="zh-CN"/>
              </w:rPr>
              <w:t>肆仟捌佰元整</w:t>
            </w:r>
            <w:r>
              <w:rPr>
                <w:rFonts w:hint="eastAsia" w:ascii="宋体" w:hAnsi="宋体" w:eastAsia="宋体" w:cs="宋体"/>
                <w:color w:val="auto"/>
                <w:highlight w:val="none"/>
              </w:rPr>
              <w:t>。</w:t>
            </w:r>
          </w:p>
          <w:p w14:paraId="75672566">
            <w:pPr>
              <w:numPr>
                <w:ilvl w:val="0"/>
                <w:numId w:val="0"/>
              </w:numPr>
              <w:spacing w:line="360" w:lineRule="auto"/>
              <w:rPr>
                <w:rFonts w:hint="eastAsia" w:eastAsia="宋体"/>
                <w:color w:val="auto"/>
                <w:highlight w:val="none"/>
              </w:rPr>
            </w:pPr>
            <w:r>
              <w:rPr>
                <w:rFonts w:hint="eastAsia" w:eastAsia="宋体"/>
                <w:color w:val="auto"/>
                <w:highlight w:val="none"/>
              </w:rPr>
              <w:t>（2）</w:t>
            </w:r>
            <w:r>
              <w:rPr>
                <w:rFonts w:hint="eastAsia"/>
                <w:color w:val="auto"/>
                <w:highlight w:val="none"/>
                <w:lang w:val="en-US" w:eastAsia="zh-CN"/>
              </w:rPr>
              <w:t>成交</w:t>
            </w:r>
            <w:r>
              <w:rPr>
                <w:rFonts w:hint="eastAsia" w:eastAsia="宋体"/>
                <w:color w:val="auto"/>
                <w:highlight w:val="none"/>
              </w:rPr>
              <w:t>服务费以转账或现金的形式支付。</w:t>
            </w:r>
            <w:r>
              <w:rPr>
                <w:rFonts w:hint="eastAsia"/>
                <w:color w:val="auto"/>
                <w:highlight w:val="none"/>
                <w:lang w:val="en-US" w:eastAsia="zh-CN"/>
              </w:rPr>
              <w:t>采购代理机构</w:t>
            </w:r>
            <w:r>
              <w:rPr>
                <w:rFonts w:hint="eastAsia" w:eastAsia="宋体"/>
                <w:color w:val="auto"/>
                <w:highlight w:val="none"/>
              </w:rPr>
              <w:t>服务费汇入账号：</w:t>
            </w:r>
          </w:p>
          <w:p w14:paraId="478B4091">
            <w:pPr>
              <w:numPr>
                <w:ilvl w:val="0"/>
                <w:numId w:val="0"/>
              </w:numPr>
              <w:spacing w:line="360" w:lineRule="auto"/>
              <w:rPr>
                <w:rFonts w:hint="eastAsia" w:eastAsia="宋体"/>
                <w:color w:val="auto"/>
                <w:highlight w:val="none"/>
              </w:rPr>
            </w:pPr>
            <w:r>
              <w:rPr>
                <w:rFonts w:hint="eastAsia" w:eastAsia="宋体"/>
                <w:color w:val="auto"/>
                <w:highlight w:val="none"/>
              </w:rPr>
              <w:t>收 款 人：</w:t>
            </w:r>
            <w:r>
              <w:rPr>
                <w:rFonts w:hint="eastAsia"/>
                <w:color w:val="auto"/>
                <w:highlight w:val="none"/>
                <w:lang w:val="en-US" w:eastAsia="zh-CN"/>
              </w:rPr>
              <w:t>国顺招标有限公司</w:t>
            </w:r>
          </w:p>
          <w:p w14:paraId="749C9069">
            <w:pPr>
              <w:numPr>
                <w:ilvl w:val="0"/>
                <w:numId w:val="0"/>
              </w:numPr>
              <w:spacing w:line="360" w:lineRule="auto"/>
              <w:rPr>
                <w:rFonts w:hint="eastAsia" w:eastAsia="宋体"/>
                <w:color w:val="auto"/>
                <w:highlight w:val="none"/>
              </w:rPr>
            </w:pPr>
            <w:r>
              <w:rPr>
                <w:rFonts w:hint="eastAsia" w:eastAsia="宋体"/>
                <w:color w:val="auto"/>
                <w:highlight w:val="none"/>
              </w:rPr>
              <w:t>开户银行：广发银行股份有限公司东莞南城支行</w:t>
            </w:r>
          </w:p>
          <w:p w14:paraId="2960C0AA">
            <w:pPr>
              <w:numPr>
                <w:ilvl w:val="0"/>
                <w:numId w:val="0"/>
              </w:numPr>
              <w:spacing w:line="360" w:lineRule="auto"/>
              <w:rPr>
                <w:rFonts w:hint="eastAsia"/>
                <w:color w:val="auto"/>
                <w:highlight w:val="none"/>
              </w:rPr>
            </w:pPr>
            <w:r>
              <w:rPr>
                <w:rFonts w:hint="eastAsia" w:eastAsia="宋体"/>
                <w:color w:val="auto"/>
                <w:highlight w:val="none"/>
              </w:rPr>
              <w:t>账</w:t>
            </w:r>
            <w:r>
              <w:rPr>
                <w:rFonts w:hint="eastAsia"/>
                <w:color w:val="auto"/>
                <w:highlight w:val="none"/>
                <w:lang w:val="en-US" w:eastAsia="zh-CN"/>
              </w:rPr>
              <w:t xml:space="preserve">    </w:t>
            </w:r>
            <w:r>
              <w:rPr>
                <w:rFonts w:hint="eastAsia" w:ascii="宋体" w:hAnsi="宋体" w:eastAsia="宋体" w:cs="宋体"/>
                <w:color w:val="auto"/>
                <w:highlight w:val="none"/>
              </w:rPr>
              <w:t>号：9550882021051988873</w:t>
            </w:r>
          </w:p>
        </w:tc>
      </w:tr>
    </w:tbl>
    <w:p w14:paraId="3F9CEC5F">
      <w:pPr>
        <w:rPr>
          <w:rFonts w:hint="default"/>
          <w:color w:val="auto"/>
          <w:highlight w:val="none"/>
          <w:lang w:val="en-US" w:eastAsia="zh-CN"/>
        </w:rPr>
      </w:pPr>
      <w:r>
        <w:rPr>
          <w:rFonts w:hint="default"/>
          <w:color w:val="auto"/>
          <w:highlight w:val="none"/>
          <w:lang w:val="en-US" w:eastAsia="zh-CN"/>
        </w:rPr>
        <w:br w:type="page"/>
      </w:r>
    </w:p>
    <w:p w14:paraId="5E6AA3BA">
      <w:pPr>
        <w:pStyle w:val="3"/>
        <w:numPr>
          <w:ilvl w:val="0"/>
          <w:numId w:val="5"/>
        </w:numPr>
        <w:bidi w:val="0"/>
        <w:rPr>
          <w:rFonts w:hint="eastAsia"/>
          <w:color w:val="auto"/>
          <w:highlight w:val="none"/>
          <w:lang w:val="en-US" w:eastAsia="zh-CN"/>
        </w:rPr>
      </w:pPr>
      <w:bookmarkStart w:id="97" w:name="_Toc32123"/>
      <w:r>
        <w:rPr>
          <w:rFonts w:hint="eastAsia"/>
          <w:color w:val="auto"/>
          <w:highlight w:val="none"/>
          <w:lang w:val="en-US" w:eastAsia="zh-CN"/>
        </w:rPr>
        <w:t>供应商须知</w:t>
      </w:r>
      <w:bookmarkEnd w:id="97"/>
    </w:p>
    <w:p w14:paraId="067CA993">
      <w:pPr>
        <w:pStyle w:val="4"/>
        <w:bidi w:val="0"/>
        <w:rPr>
          <w:color w:val="auto"/>
          <w:highlight w:val="none"/>
          <w:lang w:val="en-US" w:eastAsia="zh-CN"/>
        </w:rPr>
      </w:pPr>
      <w:bookmarkStart w:id="98" w:name="_Toc8083"/>
      <w:bookmarkStart w:id="99" w:name="_Toc10658"/>
      <w:bookmarkStart w:id="100" w:name="_Toc30834"/>
      <w:r>
        <w:rPr>
          <w:rFonts w:hint="eastAsia"/>
          <w:color w:val="auto"/>
          <w:highlight w:val="none"/>
          <w:lang w:val="en-US" w:eastAsia="zh-CN"/>
        </w:rPr>
        <w:t>1.适用范围</w:t>
      </w:r>
      <w:bookmarkEnd w:id="98"/>
      <w:bookmarkEnd w:id="99"/>
      <w:bookmarkEnd w:id="100"/>
    </w:p>
    <w:p w14:paraId="179B43B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rPr>
        <w:t>磋商文件仅适用于本次采购邀请中所叙述的项目</w:t>
      </w:r>
    </w:p>
    <w:p w14:paraId="2AD40AA3">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3E49A760">
      <w:pPr>
        <w:pStyle w:val="4"/>
        <w:bidi w:val="0"/>
        <w:rPr>
          <w:rFonts w:hint="eastAsia" w:eastAsia="宋体"/>
          <w:color w:val="auto"/>
          <w:highlight w:val="none"/>
          <w:lang w:val="en-US" w:eastAsia="zh-CN"/>
        </w:rPr>
      </w:pPr>
      <w:bookmarkStart w:id="101" w:name="_Toc25237"/>
      <w:bookmarkStart w:id="102" w:name="_Toc7271"/>
      <w:bookmarkStart w:id="103" w:name="_Toc720"/>
      <w:r>
        <w:rPr>
          <w:rFonts w:hint="eastAsia" w:eastAsia="宋体"/>
          <w:color w:val="auto"/>
          <w:highlight w:val="none"/>
          <w:lang w:val="en-US" w:eastAsia="zh-CN"/>
        </w:rPr>
        <w:t>2.</w:t>
      </w:r>
      <w:bookmarkStart w:id="104" w:name="_Toc1530"/>
      <w:bookmarkStart w:id="105" w:name="_Toc298847174"/>
      <w:bookmarkStart w:id="106" w:name="_Toc382049092"/>
      <w:bookmarkStart w:id="107" w:name="_Toc303084246"/>
      <w:r>
        <w:rPr>
          <w:rFonts w:hint="eastAsia" w:eastAsia="宋体"/>
          <w:color w:val="auto"/>
          <w:highlight w:val="none"/>
          <w:lang w:val="en-US" w:eastAsia="zh-CN"/>
        </w:rPr>
        <w:t>定义</w:t>
      </w:r>
      <w:bookmarkEnd w:id="101"/>
      <w:bookmarkEnd w:id="102"/>
      <w:bookmarkEnd w:id="103"/>
      <w:bookmarkEnd w:id="104"/>
      <w:bookmarkEnd w:id="105"/>
      <w:bookmarkEnd w:id="106"/>
      <w:bookmarkEnd w:id="107"/>
    </w:p>
    <w:p w14:paraId="42B1FC5A">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7F4FC9B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w:t>
      </w:r>
      <w:r>
        <w:rPr>
          <w:rFonts w:ascii="宋体" w:hAnsi="宋体" w:eastAsia="宋体"/>
          <w:color w:val="auto"/>
          <w:kern w:val="0"/>
          <w:sz w:val="21"/>
          <w:szCs w:val="21"/>
          <w:highlight w:val="none"/>
        </w:rPr>
        <w:t>是指依法进行政府采购的国家机关、事业单位</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团体组织</w:t>
      </w:r>
      <w:r>
        <w:rPr>
          <w:rFonts w:hint="eastAsia" w:ascii="宋体" w:hAnsi="宋体" w:eastAsia="宋体"/>
          <w:color w:val="auto"/>
          <w:kern w:val="0"/>
          <w:sz w:val="21"/>
          <w:szCs w:val="21"/>
          <w:highlight w:val="none"/>
        </w:rPr>
        <w:t>。</w:t>
      </w:r>
    </w:p>
    <w:p w14:paraId="67B4F41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：响应</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并且符合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规定资格条件和参加竞争的法人、其他组织或者自然人。</w:t>
      </w:r>
    </w:p>
    <w:p w14:paraId="715D578E">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法人：法人是依法在国内进行注册并具有民事权利能力和民事行为能力，依法独立享有民事权利和承担民事义务的组织。</w:t>
      </w:r>
    </w:p>
    <w:p w14:paraId="617F5FD2">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：指经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评审推荐、采购人确认的获得本项目</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资格的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14:paraId="0E2FE902">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w:t>
      </w:r>
      <w:r>
        <w:rPr>
          <w:rFonts w:hint="eastAsia" w:ascii="宋体" w:hAnsi="宋体"/>
          <w:color w:val="auto"/>
          <w:kern w:val="0"/>
          <w:sz w:val="21"/>
          <w:szCs w:val="21"/>
          <w:highlight w:val="none"/>
          <w:lang w:eastAsia="zh-CN"/>
        </w:rPr>
        <w:t>国顺招标有限公司</w:t>
      </w:r>
      <w:r>
        <w:rPr>
          <w:rFonts w:hint="eastAsia" w:ascii="宋体" w:hAnsi="宋体" w:eastAsia="宋体"/>
          <w:color w:val="auto"/>
          <w:kern w:val="0"/>
          <w:sz w:val="21"/>
          <w:szCs w:val="21"/>
          <w:highlight w:val="none"/>
        </w:rPr>
        <w:t>。</w:t>
      </w:r>
    </w:p>
    <w:p w14:paraId="34E45704">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是依据《中华人民共和国政府采购法》及其实施条例、《政府采购货物和服务招标投标管理办法》等组建的专门负责本次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工作的临时性机构。</w:t>
      </w:r>
    </w:p>
    <w:p w14:paraId="7749BECA">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合同：指由本次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所产生的合同或合约文件。</w:t>
      </w:r>
    </w:p>
    <w:p w14:paraId="0C6E31B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公章：</w:t>
      </w:r>
      <w:r>
        <w:rPr>
          <w:rFonts w:ascii="宋体" w:hAnsi="宋体" w:eastAsia="宋体"/>
          <w:color w:val="auto"/>
          <w:kern w:val="0"/>
          <w:sz w:val="21"/>
          <w:szCs w:val="21"/>
          <w:highlight w:val="none"/>
        </w:rPr>
        <w:t>公章是</w:t>
      </w:r>
      <w:r>
        <w:rPr>
          <w:rFonts w:ascii="宋体" w:hAnsi="宋体" w:eastAsia="宋体"/>
          <w:iCs/>
          <w:color w:val="auto"/>
          <w:kern w:val="0"/>
          <w:sz w:val="21"/>
          <w:szCs w:val="21"/>
          <w:highlight w:val="none"/>
        </w:rPr>
        <w:t>指</w:t>
      </w:r>
      <w:r>
        <w:rPr>
          <w:rFonts w:hint="eastAsia" w:ascii="宋体" w:hAnsi="宋体" w:eastAsia="宋体"/>
          <w:iCs/>
          <w:color w:val="auto"/>
          <w:kern w:val="0"/>
          <w:sz w:val="21"/>
          <w:szCs w:val="21"/>
          <w:highlight w:val="none"/>
        </w:rPr>
        <w:t>经过正规的法定程序并备案的法人公章与专用章。（</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如在</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当天应携带相关原件到现场，以供核查。因</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未提供相关手续复印件和无法核查专用章的真实性而导致的后果由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自行承担。</w:t>
      </w:r>
      <w:r>
        <w:rPr>
          <w:rFonts w:hint="eastAsia" w:ascii="宋体" w:hAnsi="宋体" w:eastAsia="宋体"/>
          <w:color w:val="auto"/>
          <w:kern w:val="0"/>
          <w:sz w:val="21"/>
          <w:szCs w:val="21"/>
          <w:highlight w:val="none"/>
        </w:rPr>
        <w:t>）</w:t>
      </w:r>
    </w:p>
    <w:p w14:paraId="6BF2198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时间</w:t>
      </w:r>
      <w:r>
        <w:rPr>
          <w:rFonts w:hint="eastAsia" w:ascii="宋体" w:hAnsi="宋体" w:eastAsia="宋体"/>
          <w:iCs/>
          <w:color w:val="auto"/>
          <w:kern w:val="0"/>
          <w:sz w:val="21"/>
          <w:szCs w:val="21"/>
          <w:highlight w:val="none"/>
        </w:rPr>
        <w:t>：本文件规定按日计算期间的，开始当天不计入，从次日开始计算。期限的最后一日是国家法定节假日的，顺延到节假日后的次日为期限的最后一日。</w:t>
      </w:r>
    </w:p>
    <w:p w14:paraId="45027029">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6493AD8A">
      <w:pPr>
        <w:pStyle w:val="4"/>
        <w:bidi w:val="0"/>
        <w:rPr>
          <w:rFonts w:hint="eastAsia" w:eastAsia="宋体"/>
          <w:color w:val="auto"/>
          <w:highlight w:val="none"/>
          <w:lang w:val="en-US" w:eastAsia="zh-CN"/>
        </w:rPr>
      </w:pPr>
      <w:bookmarkStart w:id="108" w:name="_Toc30379"/>
      <w:bookmarkStart w:id="109" w:name="_Toc24019"/>
      <w:bookmarkStart w:id="110" w:name="_Toc9030"/>
      <w:r>
        <w:rPr>
          <w:rFonts w:hint="eastAsia" w:eastAsia="宋体"/>
          <w:color w:val="auto"/>
          <w:highlight w:val="none"/>
          <w:lang w:val="en-US" w:eastAsia="zh-CN"/>
        </w:rPr>
        <w:t>3.货物和服务</w:t>
      </w:r>
      <w:bookmarkEnd w:id="108"/>
      <w:bookmarkEnd w:id="109"/>
      <w:bookmarkEnd w:id="110"/>
    </w:p>
    <w:p w14:paraId="0EB2B78E">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3CC97D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货物是指</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制造或组织符合</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文件要求的货物等。</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的货物必须是其合法生产、合法来源的符合国家有关标准要求的货物，并满足</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文件规定的规格、参数、质量、价格、有效期、售后服务等要求。</w:t>
      </w:r>
    </w:p>
    <w:p w14:paraId="0B9AF94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服务是指除货物和工程以外的其他政府采购对象，且满足实质性采购需求。</w:t>
      </w:r>
    </w:p>
    <w:p w14:paraId="3B6647C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eastAsia="宋体"/>
          <w:iCs/>
          <w:color w:val="auto"/>
          <w:kern w:val="0"/>
          <w:sz w:val="21"/>
          <w:szCs w:val="21"/>
          <w:highlight w:val="none"/>
        </w:rPr>
        <w:t>应当获得财政部门核准。依据《政府采购进口产品管理办法</w:t>
      </w:r>
      <w:bookmarkEnd w:id="111"/>
      <w:r>
        <w:rPr>
          <w:rFonts w:hint="eastAsia" w:ascii="宋体" w:hAnsi="宋体" w:eastAsia="宋体"/>
          <w:iCs/>
          <w:color w:val="auto"/>
          <w:kern w:val="0"/>
          <w:sz w:val="21"/>
          <w:szCs w:val="21"/>
          <w:highlight w:val="none"/>
        </w:rPr>
        <w:t>》优先采购向我国企业转让技术、与我国企业签订消化吸收再创新方案的供应商的进口产品。</w:t>
      </w:r>
    </w:p>
    <w:p w14:paraId="690A8D3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若所投产品属于政府强制采购节能产品的，则</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必须提供该产品国家强制性节能产品进行响应，并提供有效的中国节能产品认证证书，否则视为无效</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w:t>
      </w:r>
    </w:p>
    <w:p w14:paraId="3A623F8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提供的所有服务，其质量、技术等特征必须符合国家、行业现行法律、法规的相关标准和《中华人民共和国政府采购法》的有关规定及用户需求。</w:t>
      </w:r>
    </w:p>
    <w:p w14:paraId="34E1550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采购人有权拒绝接受任何不合格的服务，由此产生的费用及相关后果均由</w:t>
      </w:r>
      <w:r>
        <w:rPr>
          <w:rFonts w:hint="eastAsia" w:ascii="宋体" w:hAnsi="宋体" w:eastAsia="宋体"/>
          <w:iCs/>
          <w:color w:val="auto"/>
          <w:kern w:val="0"/>
          <w:sz w:val="21"/>
          <w:szCs w:val="21"/>
          <w:highlight w:val="none"/>
          <w:lang w:eastAsia="zh-CN"/>
        </w:rPr>
        <w:t>成交单位</w:t>
      </w:r>
      <w:r>
        <w:rPr>
          <w:rFonts w:hint="eastAsia" w:ascii="宋体" w:hAnsi="宋体" w:eastAsia="宋体"/>
          <w:iCs/>
          <w:color w:val="auto"/>
          <w:kern w:val="0"/>
          <w:sz w:val="21"/>
          <w:szCs w:val="21"/>
          <w:highlight w:val="none"/>
        </w:rPr>
        <w:t>自行承担；</w:t>
      </w:r>
    </w:p>
    <w:p w14:paraId="4920956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应保证本项目的</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不拥有相应的知识产权，则须在报价中包括合法获取该知识产权的相关费用，并在</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文件中附有相关证明文件。如因第三方提出其专利权、商标权或其他知识产权的侵权之诉，则一切法律责任由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承担。</w:t>
      </w:r>
    </w:p>
    <w:p w14:paraId="01AB0F15">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3F9E25F6">
      <w:pPr>
        <w:pStyle w:val="4"/>
        <w:bidi w:val="0"/>
        <w:rPr>
          <w:rFonts w:hint="eastAsia" w:eastAsia="宋体"/>
          <w:color w:val="auto"/>
          <w:highlight w:val="none"/>
          <w:lang w:val="en-US" w:eastAsia="zh-CN"/>
        </w:rPr>
      </w:pPr>
      <w:bookmarkStart w:id="112" w:name="_Toc14543"/>
      <w:bookmarkStart w:id="113" w:name="_Toc8119"/>
      <w:bookmarkStart w:id="114" w:name="_Toc18277"/>
      <w:r>
        <w:rPr>
          <w:rFonts w:hint="eastAsia" w:eastAsia="宋体"/>
          <w:color w:val="auto"/>
          <w:highlight w:val="none"/>
          <w:lang w:val="en-US" w:eastAsia="zh-CN"/>
        </w:rPr>
        <w:t>4.响应费用</w:t>
      </w:r>
      <w:bookmarkEnd w:id="112"/>
      <w:bookmarkEnd w:id="113"/>
      <w:bookmarkEnd w:id="114"/>
    </w:p>
    <w:p w14:paraId="1DB448F8">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B1B372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应承担所有与编写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和参加</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有关的自身的所有费用，不论</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的结果如何，采购代理机构和采购人在任何情况下均无义务和责任承担这些费用。</w:t>
      </w:r>
    </w:p>
    <w:p w14:paraId="3662021D">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p>
    <w:p w14:paraId="46FFFF8F">
      <w:pPr>
        <w:pStyle w:val="4"/>
        <w:bidi w:val="0"/>
        <w:rPr>
          <w:rFonts w:hint="eastAsia" w:eastAsia="宋体"/>
          <w:color w:val="auto"/>
          <w:highlight w:val="none"/>
          <w:lang w:val="en-US" w:eastAsia="zh-CN"/>
        </w:rPr>
      </w:pPr>
      <w:bookmarkStart w:id="115" w:name="_Toc32220"/>
      <w:bookmarkStart w:id="116" w:name="_Toc25254"/>
      <w:bookmarkStart w:id="117" w:name="_Toc24793"/>
      <w:r>
        <w:rPr>
          <w:rFonts w:hint="eastAsia" w:eastAsia="宋体"/>
          <w:color w:val="auto"/>
          <w:highlight w:val="none"/>
          <w:lang w:val="en-US" w:eastAsia="zh-CN"/>
        </w:rPr>
        <w:t>5.知识产权</w:t>
      </w:r>
      <w:bookmarkEnd w:id="115"/>
      <w:bookmarkEnd w:id="116"/>
      <w:bookmarkEnd w:id="117"/>
    </w:p>
    <w:p w14:paraId="5CDEF2F1">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6CB11E52">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承担所有相关责任。</w:t>
      </w:r>
    </w:p>
    <w:p w14:paraId="721F57E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采购人享有本项目实施过程中产生的知识成果及知识产权。</w:t>
      </w:r>
    </w:p>
    <w:p w14:paraId="6A2897F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如欲在项目实施过程中采用自有知识成果，需在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中声明，并提供相关知识产权证明文件。使用该知识成果后，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需提供开发接口和开发手册等技术文档。</w:t>
      </w:r>
    </w:p>
    <w:p w14:paraId="1168612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采购货物为计算机办公设备时，</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提供的产品必须是预装正版操作系统软件的计算机产品。</w:t>
      </w:r>
    </w:p>
    <w:p w14:paraId="41BCB57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供应商提供的服务、货物经认定存在侵权行为的，其响应无效，并上报相关监管部门。</w:t>
      </w:r>
    </w:p>
    <w:p w14:paraId="1638A2BB">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14:paraId="54699904">
      <w:pPr>
        <w:pStyle w:val="4"/>
        <w:bidi w:val="0"/>
        <w:rPr>
          <w:rFonts w:hint="eastAsia" w:eastAsia="宋体"/>
          <w:color w:val="auto"/>
          <w:highlight w:val="none"/>
          <w:lang w:val="en-US" w:eastAsia="zh-CN"/>
        </w:rPr>
      </w:pPr>
      <w:bookmarkStart w:id="118" w:name="_Toc30779"/>
      <w:bookmarkStart w:id="119" w:name="_Toc31725"/>
      <w:bookmarkStart w:id="120" w:name="_Toc13064"/>
      <w:r>
        <w:rPr>
          <w:rFonts w:hint="eastAsia" w:eastAsia="宋体"/>
          <w:color w:val="auto"/>
          <w:highlight w:val="none"/>
          <w:lang w:val="en-US" w:eastAsia="zh-CN"/>
        </w:rPr>
        <w:t>6.关于联合体</w:t>
      </w:r>
      <w:bookmarkEnd w:id="118"/>
      <w:bookmarkEnd w:id="119"/>
      <w:bookmarkEnd w:id="120"/>
    </w:p>
    <w:p w14:paraId="41110590">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942027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stheme="minorBidi"/>
          <w:b w:val="0"/>
          <w:bCs w:val="0"/>
          <w:color w:val="auto"/>
          <w:kern w:val="0"/>
          <w:sz w:val="21"/>
          <w:szCs w:val="21"/>
          <w:highlight w:val="none"/>
          <w:lang w:val="en-US" w:eastAsia="zh-CN" w:bidi="ar-SA"/>
        </w:rPr>
        <w:t>联合体必须满足以下条款。（除非磋商邀请中另有规定不接受联合体）</w:t>
      </w:r>
    </w:p>
    <w:p w14:paraId="415C9917">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对接受联合体的项目：两个以上的自然人、法人或者其他组织可以组成一个联合体，以一个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的身份共同参加政府采购。</w:t>
      </w:r>
    </w:p>
    <w:p w14:paraId="046EA42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以联合体形式参与项目的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在领购</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val="en-US" w:eastAsia="zh-CN"/>
        </w:rPr>
        <w:t>磋商文件</w:t>
      </w:r>
      <w:r>
        <w:rPr>
          <w:rFonts w:hint="eastAsia" w:ascii="宋体" w:hAnsi="宋体" w:eastAsia="宋体"/>
          <w:color w:val="auto"/>
          <w:kern w:val="0"/>
          <w:sz w:val="21"/>
          <w:szCs w:val="21"/>
          <w:highlight w:val="none"/>
        </w:rPr>
        <w:t>时，应提供所有联合体组成成员的营业执照复印件，并加盖各联合体组成成员的公章。</w:t>
      </w:r>
    </w:p>
    <w:p w14:paraId="4BF7C35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联合体各方均应当符合《政府采购法》第二十二条规定的条件。</w:t>
      </w:r>
    </w:p>
    <w:p w14:paraId="3DD2C136">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BD8FA2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采购人根据采购项目的特殊要求规定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特定条件的，联合体各方中至少应当有一方符合采购人规定的特定条件。</w:t>
      </w:r>
    </w:p>
    <w:p w14:paraId="0EA4DD8E">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联合体各方之间应当签订协议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并</w:t>
      </w:r>
      <w:r>
        <w:rPr>
          <w:rFonts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内提交</w:t>
      </w:r>
      <w:r>
        <w:rPr>
          <w:rFonts w:hint="eastAsia" w:ascii="宋体" w:hAnsi="宋体" w:eastAsia="宋体"/>
          <w:color w:val="auto"/>
          <w:kern w:val="0"/>
          <w:sz w:val="21"/>
          <w:szCs w:val="21"/>
          <w:highlight w:val="none"/>
        </w:rPr>
        <w:t>，明确约定联合体各方承担的工作和相应的责任。联合体各方签订协议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后，不得再以自己名义单独在同一项目中</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，也不得组成新的联合体参加同一项目</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w:t>
      </w:r>
    </w:p>
    <w:p w14:paraId="62C2471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供应商为联合体的，可以由联合体中的任意一方交纳</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保证金，其交纳的</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保证金对联合体各方均具有约束力。</w:t>
      </w:r>
    </w:p>
    <w:p w14:paraId="6BC74A0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联合体中有同类资质的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按照联合体分工承担相同工作的，应当按照资质等级较低的供应商确定资质等级。</w:t>
      </w:r>
    </w:p>
    <w:p w14:paraId="0B950F94">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以</w:t>
      </w:r>
      <w:r>
        <w:rPr>
          <w:rFonts w:hint="eastAsia" w:ascii="宋体" w:hAnsi="宋体" w:eastAsia="宋体"/>
          <w:color w:val="auto"/>
          <w:kern w:val="0"/>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kern w:val="0"/>
          <w:sz w:val="21"/>
          <w:szCs w:val="21"/>
          <w:highlight w:val="none"/>
          <w:lang w:eastAsia="zh-CN"/>
        </w:rPr>
        <w:t>双方均应提供《中小企业声明函》。</w:t>
      </w:r>
    </w:p>
    <w:p w14:paraId="696B589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除联合体协议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明确授权盖章单位外，联合体</w:t>
      </w:r>
      <w:r>
        <w:rPr>
          <w:rFonts w:hint="eastAsia" w:ascii="宋体" w:hAnsi="宋体" w:eastAsia="宋体"/>
          <w:color w:val="auto"/>
          <w:kern w:val="0"/>
          <w:sz w:val="21"/>
          <w:szCs w:val="21"/>
          <w:highlight w:val="none"/>
          <w:lang w:eastAsia="zh-CN"/>
        </w:rPr>
        <w:t>响应磋商时响应文件</w:t>
      </w:r>
      <w:r>
        <w:rPr>
          <w:rFonts w:hint="eastAsia" w:ascii="宋体" w:hAnsi="宋体" w:eastAsia="宋体"/>
          <w:color w:val="auto"/>
          <w:kern w:val="0"/>
          <w:sz w:val="21"/>
          <w:szCs w:val="21"/>
          <w:highlight w:val="none"/>
        </w:rPr>
        <w:t>中所有要求盖章的地方均须加盖联合体所有组成成员的公章，否则该处盖章无效。</w:t>
      </w:r>
    </w:p>
    <w:p w14:paraId="2040989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联合体进行评分时，业绩、奖项等的认定和评分根据协议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约定的各方承担的工作和相应责任，确定一方打分，不累加打分；评审标准不明确或难以明确以哪一方计算评分情况时，则按主体方情况评分。</w:t>
      </w:r>
    </w:p>
    <w:p w14:paraId="0C9AD994">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14:paraId="78EF656E">
      <w:pPr>
        <w:pStyle w:val="4"/>
        <w:bidi w:val="0"/>
        <w:rPr>
          <w:rFonts w:hint="eastAsia" w:eastAsia="宋体"/>
          <w:color w:val="auto"/>
          <w:highlight w:val="none"/>
          <w:lang w:val="en-US" w:eastAsia="zh-CN"/>
        </w:rPr>
      </w:pPr>
      <w:bookmarkStart w:id="121" w:name="_Toc23688"/>
      <w:bookmarkStart w:id="122" w:name="_Toc27755"/>
      <w:bookmarkStart w:id="123" w:name="_Toc18142"/>
      <w:r>
        <w:rPr>
          <w:rFonts w:hint="eastAsia" w:eastAsia="宋体"/>
          <w:color w:val="auto"/>
          <w:highlight w:val="none"/>
          <w:lang w:val="en-US" w:eastAsia="zh-CN"/>
        </w:rPr>
        <w:t>7.关于分支机构响应</w:t>
      </w:r>
      <w:bookmarkEnd w:id="121"/>
      <w:bookmarkEnd w:id="122"/>
      <w:bookmarkEnd w:id="123"/>
    </w:p>
    <w:p w14:paraId="3F59FAF7">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bookmarkStart w:id="124" w:name="EB389f116341dd4693875bc7987e7327f3"/>
    </w:p>
    <w:p w14:paraId="6F250BB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分支机构</w:t>
      </w:r>
      <w:r>
        <w:rPr>
          <w:rFonts w:hint="eastAsia" w:ascii="宋体" w:hAnsi="宋体" w:eastAsia="宋体"/>
          <w:color w:val="auto"/>
          <w:kern w:val="0"/>
          <w:sz w:val="21"/>
          <w:szCs w:val="21"/>
          <w:highlight w:val="none"/>
          <w:lang w:eastAsia="zh-CN"/>
        </w:rPr>
        <w:t>响应</w:t>
      </w:r>
      <w:r>
        <w:rPr>
          <w:rFonts w:ascii="宋体" w:hAnsi="宋体" w:eastAsia="宋体"/>
          <w:color w:val="auto"/>
          <w:kern w:val="0"/>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14:paraId="59DE26A5">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792CD510">
      <w:pPr>
        <w:pStyle w:val="4"/>
        <w:bidi w:val="0"/>
        <w:rPr>
          <w:rFonts w:hint="eastAsia" w:eastAsia="宋体"/>
          <w:color w:val="auto"/>
          <w:highlight w:val="none"/>
          <w:lang w:val="en-US" w:eastAsia="zh-CN"/>
        </w:rPr>
      </w:pPr>
      <w:bookmarkStart w:id="125" w:name="_Toc5596"/>
      <w:bookmarkStart w:id="126" w:name="_Toc29774"/>
      <w:bookmarkStart w:id="127" w:name="_Toc19660"/>
      <w:r>
        <w:rPr>
          <w:rFonts w:hint="eastAsia" w:eastAsia="宋体"/>
          <w:color w:val="auto"/>
          <w:highlight w:val="none"/>
          <w:lang w:val="en-US" w:eastAsia="zh-CN"/>
        </w:rPr>
        <w:t>8.磋商文件的组成</w:t>
      </w:r>
      <w:bookmarkEnd w:id="125"/>
      <w:bookmarkEnd w:id="126"/>
      <w:bookmarkEnd w:id="127"/>
    </w:p>
    <w:p w14:paraId="6C3F5625">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B4259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w:t>
      </w:r>
    </w:p>
    <w:p w14:paraId="273902D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（2）供应商须知；</w:t>
      </w:r>
    </w:p>
    <w:p w14:paraId="5CA8716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（3）用户需求书；</w:t>
      </w:r>
    </w:p>
    <w:p w14:paraId="1DCCC0C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（4）详细评审；</w:t>
      </w:r>
    </w:p>
    <w:p w14:paraId="437DF41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（5）合同文本</w:t>
      </w:r>
      <w:r>
        <w:rPr>
          <w:rFonts w:hint="eastAsia" w:ascii="宋体" w:hAnsi="宋体" w:eastAsia="宋体"/>
          <w:color w:val="auto"/>
          <w:kern w:val="0"/>
          <w:sz w:val="21"/>
          <w:szCs w:val="21"/>
          <w:highlight w:val="none"/>
          <w:lang w:eastAsia="zh-CN"/>
        </w:rPr>
        <w:t>参考格式</w:t>
      </w:r>
      <w:r>
        <w:rPr>
          <w:rFonts w:hint="eastAsia" w:ascii="宋体" w:hAnsi="宋体" w:eastAsia="宋体"/>
          <w:color w:val="auto"/>
          <w:kern w:val="0"/>
          <w:sz w:val="21"/>
          <w:szCs w:val="21"/>
          <w:highlight w:val="none"/>
        </w:rPr>
        <w:t>；</w:t>
      </w:r>
    </w:p>
    <w:p w14:paraId="7899C23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（6）响应文件格式；</w:t>
      </w:r>
    </w:p>
    <w:p w14:paraId="70C811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（7）报价文件格式；</w:t>
      </w:r>
    </w:p>
    <w:p w14:paraId="11C6DABF">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lang w:eastAsia="zh-CN"/>
        </w:rPr>
        <w:t>）其它文件格式（如有需要）</w:t>
      </w:r>
      <w:r>
        <w:rPr>
          <w:rFonts w:hint="eastAsia" w:ascii="宋体" w:hAnsi="宋体" w:eastAsia="宋体"/>
          <w:color w:val="auto"/>
          <w:kern w:val="0"/>
          <w:sz w:val="21"/>
          <w:szCs w:val="21"/>
          <w:highlight w:val="none"/>
        </w:rPr>
        <w:t>。</w:t>
      </w:r>
    </w:p>
    <w:p w14:paraId="0D874217">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3764B292">
      <w:pPr>
        <w:pStyle w:val="4"/>
        <w:bidi w:val="0"/>
        <w:rPr>
          <w:rFonts w:hint="eastAsia" w:eastAsia="宋体"/>
          <w:color w:val="auto"/>
          <w:highlight w:val="none"/>
          <w:lang w:val="en-US" w:eastAsia="zh-CN"/>
        </w:rPr>
      </w:pPr>
      <w:bookmarkStart w:id="128" w:name="_Toc28076"/>
      <w:bookmarkStart w:id="129" w:name="_Toc20046"/>
      <w:bookmarkStart w:id="130" w:name="_Toc3812"/>
      <w:r>
        <w:rPr>
          <w:rFonts w:hint="eastAsia" w:eastAsia="宋体"/>
          <w:color w:val="auto"/>
          <w:highlight w:val="none"/>
          <w:lang w:val="en-US" w:eastAsia="zh-CN"/>
        </w:rPr>
        <w:t>9.磋商文件的澄清或修改</w:t>
      </w:r>
      <w:bookmarkEnd w:id="128"/>
      <w:bookmarkEnd w:id="129"/>
      <w:bookmarkEnd w:id="130"/>
    </w:p>
    <w:p w14:paraId="5EC48693">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6940E09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邀请进行必要的澄清或者修改。澄清或者修改的内容为</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邀请的组成部分，</w:t>
      </w:r>
      <w:r>
        <w:rPr>
          <w:rFonts w:ascii="宋体" w:hAnsi="宋体" w:eastAsia="宋体"/>
          <w:color w:val="auto"/>
          <w:kern w:val="0"/>
          <w:sz w:val="21"/>
          <w:szCs w:val="21"/>
          <w:highlight w:val="none"/>
        </w:rPr>
        <w:t>具有约束作用</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当</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ascii="宋体" w:hAnsi="宋体" w:eastAsia="宋体"/>
          <w:color w:val="auto"/>
          <w:kern w:val="0"/>
          <w:sz w:val="21"/>
          <w:szCs w:val="21"/>
          <w:highlight w:val="none"/>
        </w:rPr>
        <w:t>的澄清</w:t>
      </w:r>
      <w:r>
        <w:rPr>
          <w:rFonts w:hint="eastAsia" w:ascii="宋体" w:hAnsi="宋体" w:eastAsia="宋体"/>
          <w:color w:val="auto"/>
          <w:kern w:val="0"/>
          <w:sz w:val="21"/>
          <w:szCs w:val="21"/>
          <w:highlight w:val="none"/>
        </w:rPr>
        <w:t>或</w:t>
      </w:r>
      <w:r>
        <w:rPr>
          <w:rFonts w:ascii="宋体" w:hAnsi="宋体" w:eastAsia="宋体"/>
          <w:color w:val="auto"/>
          <w:kern w:val="0"/>
          <w:sz w:val="21"/>
          <w:szCs w:val="21"/>
          <w:highlight w:val="none"/>
        </w:rPr>
        <w:t>修改等在同一内容的表述上不一致时，以最后发出的书面文件</w:t>
      </w:r>
      <w:r>
        <w:rPr>
          <w:rFonts w:hint="eastAsia" w:ascii="宋体" w:hAnsi="宋体" w:eastAsia="宋体"/>
          <w:color w:val="auto"/>
          <w:kern w:val="0"/>
          <w:sz w:val="21"/>
          <w:szCs w:val="21"/>
          <w:highlight w:val="none"/>
        </w:rPr>
        <w:t>及公告</w:t>
      </w:r>
      <w:r>
        <w:rPr>
          <w:rFonts w:ascii="宋体" w:hAnsi="宋体" w:eastAsia="宋体"/>
          <w:color w:val="auto"/>
          <w:kern w:val="0"/>
          <w:sz w:val="21"/>
          <w:szCs w:val="21"/>
          <w:highlight w:val="none"/>
        </w:rPr>
        <w:t>为准。</w:t>
      </w:r>
    </w:p>
    <w:p w14:paraId="2165A33D">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文件进行必要的澄清或者修改。澄清或者修改的内容可能影响</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文件编制的，采购人或者采购代理机构应当在</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截止时间至少</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前，以书面形式通知所有获取</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文件的潜在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；不足</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的，采购人或者采购代理机构应当顺延提交</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文件的截止时间。</w:t>
      </w:r>
    </w:p>
    <w:p w14:paraId="2DB7D39E">
      <w:pPr>
        <w:widowControl w:val="0"/>
        <w:adjustRightInd/>
        <w:snapToGrid/>
        <w:spacing w:after="0" w:line="360" w:lineRule="exact"/>
        <w:ind w:left="567"/>
        <w:jc w:val="both"/>
        <w:rPr>
          <w:rFonts w:ascii="宋体" w:hAnsi="宋体" w:eastAsia="宋体"/>
          <w:color w:val="auto"/>
          <w:kern w:val="0"/>
          <w:sz w:val="21"/>
          <w:szCs w:val="21"/>
          <w:highlight w:val="none"/>
        </w:rPr>
      </w:pPr>
    </w:p>
    <w:p w14:paraId="2E4AFA33">
      <w:pPr>
        <w:pStyle w:val="4"/>
        <w:bidi w:val="0"/>
        <w:rPr>
          <w:rFonts w:hint="eastAsia" w:eastAsia="宋体"/>
          <w:color w:val="auto"/>
          <w:highlight w:val="none"/>
          <w:lang w:val="en-US" w:eastAsia="zh-CN"/>
        </w:rPr>
      </w:pPr>
      <w:bookmarkStart w:id="131" w:name="_Toc28595"/>
      <w:bookmarkStart w:id="132" w:name="_Toc17507"/>
      <w:bookmarkStart w:id="133" w:name="_Toc5431"/>
      <w:r>
        <w:rPr>
          <w:rFonts w:hint="eastAsia" w:eastAsia="宋体"/>
          <w:color w:val="auto"/>
          <w:highlight w:val="none"/>
          <w:lang w:val="en-US" w:eastAsia="zh-CN"/>
        </w:rPr>
        <w:t>10.响应文件的语言及度量衡单位</w:t>
      </w:r>
      <w:bookmarkEnd w:id="131"/>
      <w:bookmarkEnd w:id="132"/>
      <w:bookmarkEnd w:id="133"/>
    </w:p>
    <w:p w14:paraId="12187EC6">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4FD9698">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以及</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与采购代理机构就有关</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的所有来往函件均应使用简体中文书写。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的修改内容时以中文翻译本为准。</w:t>
      </w:r>
    </w:p>
    <w:p w14:paraId="7EE76A5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除非</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在技术规格中另有规定，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中及其与采购代理机构和采购人所有往来文件中的所有</w:t>
      </w:r>
      <w:r>
        <w:rPr>
          <w:rFonts w:ascii="宋体" w:hAnsi="宋体" w:eastAsia="宋体"/>
          <w:color w:val="auto"/>
          <w:kern w:val="0"/>
          <w:sz w:val="21"/>
          <w:szCs w:val="21"/>
          <w:highlight w:val="none"/>
        </w:rPr>
        <w:t>计量单位</w:t>
      </w:r>
      <w:r>
        <w:rPr>
          <w:rFonts w:hint="eastAsia" w:ascii="宋体" w:hAnsi="宋体" w:eastAsia="宋体"/>
          <w:color w:val="auto"/>
          <w:kern w:val="0"/>
          <w:sz w:val="21"/>
          <w:szCs w:val="21"/>
          <w:highlight w:val="none"/>
        </w:rPr>
        <w:t>均应采用中华人民共和国法定计量单位</w:t>
      </w:r>
      <w:r>
        <w:rPr>
          <w:rFonts w:ascii="宋体" w:hAnsi="宋体" w:eastAsia="宋体"/>
          <w:color w:val="auto"/>
          <w:kern w:val="0"/>
          <w:sz w:val="21"/>
          <w:szCs w:val="21"/>
          <w:highlight w:val="none"/>
        </w:rPr>
        <w:t>。</w:t>
      </w:r>
    </w:p>
    <w:p w14:paraId="11B835A7">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14:paraId="2078412C">
      <w:pPr>
        <w:pStyle w:val="4"/>
        <w:bidi w:val="0"/>
        <w:rPr>
          <w:rFonts w:hint="eastAsia" w:eastAsia="宋体"/>
          <w:color w:val="auto"/>
          <w:highlight w:val="none"/>
          <w:lang w:val="en-US" w:eastAsia="zh-CN"/>
        </w:rPr>
      </w:pPr>
      <w:bookmarkStart w:id="134" w:name="_Toc28866"/>
      <w:bookmarkStart w:id="135" w:name="_Toc382049103"/>
      <w:bookmarkStart w:id="136" w:name="_Toc17694"/>
      <w:bookmarkStart w:id="137" w:name="_Toc303084256"/>
      <w:bookmarkStart w:id="138" w:name="_Toc307934854"/>
      <w:bookmarkStart w:id="139" w:name="_Toc21308"/>
      <w:bookmarkStart w:id="140" w:name="_Toc25080"/>
      <w:r>
        <w:rPr>
          <w:rFonts w:hint="eastAsia" w:eastAsia="宋体"/>
          <w:color w:val="auto"/>
          <w:highlight w:val="none"/>
          <w:lang w:val="en-US" w:eastAsia="zh-CN"/>
        </w:rPr>
        <w:t>11.响应文件的组成</w:t>
      </w:r>
      <w:bookmarkEnd w:id="134"/>
      <w:bookmarkEnd w:id="135"/>
      <w:bookmarkEnd w:id="136"/>
      <w:bookmarkEnd w:id="137"/>
      <w:bookmarkEnd w:id="138"/>
      <w:bookmarkEnd w:id="139"/>
      <w:bookmarkEnd w:id="140"/>
    </w:p>
    <w:p w14:paraId="326C78CE">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54983A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附件格式中要求提供的表格。</w:t>
      </w:r>
    </w:p>
    <w:p w14:paraId="1A76E9A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上述文件须按顺序装订成册，并编制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目录。除上述文件资料外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还须按</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须知的要求制作“</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的一部分，但须单独密封。</w:t>
      </w:r>
    </w:p>
    <w:p w14:paraId="22D29F39">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1B44D6F9">
      <w:pPr>
        <w:pStyle w:val="4"/>
        <w:bidi w:val="0"/>
        <w:rPr>
          <w:rFonts w:hint="eastAsia" w:eastAsia="宋体"/>
          <w:color w:val="auto"/>
          <w:highlight w:val="none"/>
          <w:lang w:val="en-US" w:eastAsia="zh-CN"/>
        </w:rPr>
      </w:pPr>
      <w:bookmarkStart w:id="141" w:name="_Toc26322"/>
      <w:bookmarkStart w:id="142" w:name="_Toc28835"/>
      <w:bookmarkStart w:id="143" w:name="_Toc23396"/>
      <w:r>
        <w:rPr>
          <w:rFonts w:hint="eastAsia" w:eastAsia="宋体"/>
          <w:color w:val="auto"/>
          <w:highlight w:val="none"/>
          <w:lang w:val="en-US" w:eastAsia="zh-CN"/>
        </w:rPr>
        <w:t>12.响应文件编制</w:t>
      </w:r>
      <w:bookmarkEnd w:id="141"/>
      <w:bookmarkEnd w:id="142"/>
      <w:bookmarkEnd w:id="143"/>
    </w:p>
    <w:p w14:paraId="5F4316E5">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bookmarkStart w:id="144" w:name="_Toc303084258"/>
    </w:p>
    <w:p w14:paraId="108C0F77">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的规定以及附件要求的内容和格式完整地填写</w:t>
      </w:r>
      <w:r>
        <w:rPr>
          <w:rFonts w:ascii="宋体" w:hAnsi="宋体" w:eastAsia="宋体"/>
          <w:color w:val="auto"/>
          <w:kern w:val="0"/>
          <w:sz w:val="21"/>
          <w:szCs w:val="21"/>
          <w:highlight w:val="none"/>
        </w:rPr>
        <w:t>（表格可以按同样格式扩展）</w:t>
      </w:r>
      <w:r>
        <w:rPr>
          <w:rFonts w:hint="eastAsia" w:ascii="宋体" w:hAnsi="宋体" w:eastAsia="宋体"/>
          <w:color w:val="auto"/>
          <w:kern w:val="0"/>
          <w:sz w:val="21"/>
          <w:szCs w:val="21"/>
          <w:highlight w:val="none"/>
        </w:rPr>
        <w:t>和提供资料，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必须对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所提供的全部材料的真实性承担法律责任，并无条件接受采购人或采购代理机构及政府采购监督管理部门等对其中任何资料进行核实的要求。</w:t>
      </w:r>
    </w:p>
    <w:p w14:paraId="23223CB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编制存在歧义对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产生负面影响的，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自行承担后果。</w:t>
      </w:r>
    </w:p>
    <w:p w14:paraId="7977A79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公章不一致，若</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单位名称已进行变更，应在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中提供相应的证明材料并加盖公章，否则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无效。</w:t>
      </w:r>
    </w:p>
    <w:p w14:paraId="015327F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若出现以下内容，经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认定有可能间接影响评审秩序，</w:t>
      </w:r>
      <w:r>
        <w:rPr>
          <w:rFonts w:hint="eastAsia" w:ascii="宋体" w:hAnsi="宋体" w:eastAsia="宋体"/>
          <w:color w:val="auto"/>
          <w:kern w:val="0"/>
          <w:sz w:val="21"/>
          <w:szCs w:val="21"/>
          <w:highlight w:val="none"/>
          <w:lang w:eastAsia="zh-CN"/>
        </w:rPr>
        <w:t>其响应无效：</w:t>
      </w:r>
    </w:p>
    <w:p w14:paraId="78EF6F3C">
      <w:pPr>
        <w:pageBreakBefore w:val="0"/>
        <w:widowControl w:val="0"/>
        <w:numPr>
          <w:ilvl w:val="0"/>
          <w:numId w:val="0"/>
        </w:numPr>
        <w:kinsoku/>
        <w:wordWrap/>
        <w:topLinePunct w:val="0"/>
        <w:autoSpaceDE/>
        <w:autoSpaceDN/>
        <w:bidi w:val="0"/>
        <w:adjustRightInd/>
        <w:snapToGrid/>
        <w:spacing w:after="0" w:line="400" w:lineRule="exact"/>
        <w:ind w:left="399" w:leftChars="190" w:firstLine="0" w:firstLineChars="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（1）响应文件内出现无官方证明文件的行业地域排名或</w:t>
      </w:r>
      <w:r>
        <w:rPr>
          <w:rFonts w:ascii="宋体" w:hAnsi="宋体" w:eastAsia="宋体" w:cstheme="minorBidi"/>
          <w:color w:val="auto"/>
          <w:sz w:val="21"/>
          <w:szCs w:val="21"/>
          <w:highlight w:val="none"/>
          <w:lang w:val="en-US" w:eastAsia="zh-CN" w:bidi="ar-SA"/>
        </w:rPr>
        <w:t>使用“国家级”、“最高级”、“最佳”等用语</w:t>
      </w:r>
      <w:r>
        <w:rPr>
          <w:rFonts w:hint="eastAsia" w:ascii="宋体" w:hAnsi="宋体" w:eastAsia="宋体" w:cstheme="minorBidi"/>
          <w:color w:val="auto"/>
          <w:sz w:val="21"/>
          <w:szCs w:val="21"/>
          <w:highlight w:val="none"/>
          <w:lang w:val="en-US" w:eastAsia="zh-CN" w:bidi="ar-SA"/>
        </w:rPr>
        <w:t>字眼的。</w:t>
      </w:r>
    </w:p>
    <w:p w14:paraId="18F23779">
      <w:pPr>
        <w:pageBreakBefore w:val="0"/>
        <w:widowControl w:val="0"/>
        <w:numPr>
          <w:ilvl w:val="0"/>
          <w:numId w:val="0"/>
        </w:numPr>
        <w:kinsoku/>
        <w:wordWrap/>
        <w:topLinePunct w:val="0"/>
        <w:autoSpaceDE/>
        <w:autoSpaceDN/>
        <w:bidi w:val="0"/>
        <w:adjustRightInd/>
        <w:snapToGrid/>
        <w:spacing w:after="0" w:line="400" w:lineRule="exact"/>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（2）响应文件内出现恶意诋毁、</w:t>
      </w:r>
      <w:r>
        <w:rPr>
          <w:rFonts w:ascii="宋体" w:hAnsi="宋体" w:eastAsia="宋体" w:cstheme="minorBidi"/>
          <w:color w:val="auto"/>
          <w:sz w:val="21"/>
          <w:szCs w:val="21"/>
          <w:highlight w:val="none"/>
          <w:lang w:val="en-US" w:eastAsia="zh-CN" w:bidi="ar-SA"/>
        </w:rPr>
        <w:t>贬低其他生产经营者的商品或者服务</w:t>
      </w:r>
      <w:r>
        <w:rPr>
          <w:rFonts w:hint="eastAsia" w:ascii="宋体" w:hAnsi="宋体" w:eastAsia="宋体" w:cstheme="minorBidi"/>
          <w:color w:val="auto"/>
          <w:sz w:val="21"/>
          <w:szCs w:val="21"/>
          <w:highlight w:val="none"/>
          <w:lang w:val="en-US" w:eastAsia="zh-CN" w:bidi="ar-SA"/>
        </w:rPr>
        <w:t>的内容。</w:t>
      </w:r>
    </w:p>
    <w:p w14:paraId="19797C4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有下列情形之一的，视为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串通</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无效：</w:t>
      </w:r>
    </w:p>
    <w:bookmarkEnd w:id="144"/>
    <w:p w14:paraId="33553885">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由同一单位或者个人编制；</w:t>
      </w:r>
    </w:p>
    <w:p w14:paraId="4C3894FD">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委托同一单位或者个人办理</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事宜；</w:t>
      </w:r>
    </w:p>
    <w:p w14:paraId="112C64C5">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载明的项目管理成员或者联系人员为同一人；</w:t>
      </w:r>
    </w:p>
    <w:p w14:paraId="58425357">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异常一致或者</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报价呈规律性差异；</w:t>
      </w:r>
    </w:p>
    <w:p w14:paraId="5BA104EB">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相互混装；</w:t>
      </w:r>
    </w:p>
    <w:p w14:paraId="1EC334D0">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从同一单位或者个人的账户转出。</w:t>
      </w:r>
    </w:p>
    <w:p w14:paraId="4B06E10A">
      <w:pPr>
        <w:pageBreakBefore w:val="0"/>
        <w:widowControl w:val="0"/>
        <w:kinsoku/>
        <w:wordWrap/>
        <w:topLinePunct w:val="0"/>
        <w:autoSpaceDE/>
        <w:autoSpaceDN/>
        <w:bidi w:val="0"/>
        <w:adjustRightInd/>
        <w:snapToGrid/>
        <w:spacing w:after="0" w:line="400" w:lineRule="exact"/>
        <w:jc w:val="both"/>
        <w:textAlignment w:val="auto"/>
        <w:rPr>
          <w:rFonts w:hint="eastAsia" w:ascii="Tahoma" w:hAnsi="Tahoma" w:eastAsia="微软雅黑"/>
          <w:color w:val="auto"/>
          <w:kern w:val="0"/>
          <w:sz w:val="22"/>
          <w:szCs w:val="22"/>
          <w:highlight w:val="none"/>
        </w:rPr>
      </w:pPr>
    </w:p>
    <w:p w14:paraId="7633FD78">
      <w:pPr>
        <w:pStyle w:val="4"/>
        <w:bidi w:val="0"/>
        <w:rPr>
          <w:rFonts w:hint="eastAsia" w:eastAsia="宋体"/>
          <w:color w:val="auto"/>
          <w:highlight w:val="none"/>
          <w:lang w:val="en-US" w:eastAsia="zh-CN"/>
        </w:rPr>
      </w:pPr>
      <w:bookmarkStart w:id="145" w:name="_Toc11253"/>
      <w:bookmarkStart w:id="146" w:name="_Toc29388"/>
      <w:bookmarkStart w:id="147" w:name="_Toc10449"/>
      <w:r>
        <w:rPr>
          <w:rFonts w:hint="eastAsia" w:eastAsia="宋体"/>
          <w:color w:val="auto"/>
          <w:highlight w:val="none"/>
          <w:lang w:val="en-US" w:eastAsia="zh-CN"/>
        </w:rPr>
        <w:t>13.响应报价说明</w:t>
      </w:r>
      <w:bookmarkEnd w:id="145"/>
      <w:bookmarkEnd w:id="146"/>
      <w:bookmarkEnd w:id="147"/>
    </w:p>
    <w:p w14:paraId="793E6166">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FD5529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应按用户需求中的要求进行</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报价，少报无效。</w:t>
      </w:r>
    </w:p>
    <w:p w14:paraId="3B8FC59E">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所提供的货物或服务均以人民币（或相关费率）报价。</w:t>
      </w:r>
    </w:p>
    <w:p w14:paraId="7BB7731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报价应包含完成本次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所有服务内容的费用，包含各种税务费及合同实施过程中的全部费用和售后服务费等。</w:t>
      </w:r>
    </w:p>
    <w:p w14:paraId="5669802E">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的报价明显低于其他通过符合性审查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的报价，有可能影响产品质量或者不能诚信履约的，应当要求其在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现场合理的时间内提供书面说明，必要时提交相关证明材料；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不能证明其报价合理性的，</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应当将其作为无效</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处理。</w:t>
      </w:r>
    </w:p>
    <w:p w14:paraId="29B029C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后开出的所有发票必须与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的名称一致。</w:t>
      </w:r>
    </w:p>
    <w:p w14:paraId="332A0367">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0FF15283">
      <w:pPr>
        <w:pStyle w:val="4"/>
        <w:bidi w:val="0"/>
        <w:rPr>
          <w:rFonts w:hint="eastAsia" w:eastAsia="宋体"/>
          <w:color w:val="auto"/>
          <w:highlight w:val="none"/>
          <w:lang w:val="en-US" w:eastAsia="zh-CN"/>
        </w:rPr>
      </w:pPr>
      <w:bookmarkStart w:id="148" w:name="_Toc18749"/>
      <w:bookmarkStart w:id="149" w:name="_Toc29860"/>
      <w:bookmarkStart w:id="150" w:name="_Toc28006"/>
      <w:r>
        <w:rPr>
          <w:rFonts w:hint="eastAsia" w:eastAsia="宋体"/>
          <w:color w:val="auto"/>
          <w:highlight w:val="none"/>
          <w:lang w:val="en-US" w:eastAsia="zh-CN"/>
        </w:rPr>
        <w:t>14.供应商所提供的服务或货物的证明文件</w:t>
      </w:r>
      <w:bookmarkEnd w:id="148"/>
      <w:bookmarkEnd w:id="149"/>
      <w:bookmarkEnd w:id="150"/>
    </w:p>
    <w:p w14:paraId="584211BA">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7A66422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bookmarkStart w:id="151" w:name="_Hlt107925638"/>
      <w:bookmarkEnd w:id="151"/>
      <w:bookmarkStart w:id="152" w:name="_Hlt107925668"/>
      <w:bookmarkEnd w:id="152"/>
      <w:r>
        <w:rPr>
          <w:rFonts w:hint="eastAsia" w:ascii="宋体" w:hAnsi="宋体" w:eastAsia="宋体"/>
          <w:color w:val="auto"/>
          <w:kern w:val="0"/>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第三</w:t>
      </w:r>
      <w:r>
        <w:rPr>
          <w:rFonts w:hint="eastAsia" w:ascii="宋体" w:hAnsi="宋体"/>
          <w:color w:val="auto"/>
          <w:kern w:val="0"/>
          <w:sz w:val="21"/>
          <w:szCs w:val="21"/>
          <w:highlight w:val="none"/>
          <w:lang w:val="en-US" w:eastAsia="zh-CN"/>
        </w:rPr>
        <w:t>篇</w:t>
      </w:r>
      <w:r>
        <w:rPr>
          <w:rFonts w:hint="eastAsia" w:ascii="宋体" w:hAnsi="宋体" w:eastAsia="宋体"/>
          <w:color w:val="auto"/>
          <w:kern w:val="0"/>
          <w:sz w:val="21"/>
          <w:szCs w:val="21"/>
          <w:highlight w:val="none"/>
        </w:rPr>
        <w:t>《用户需求书》中规定的要求进行详细应答和说明。</w:t>
      </w:r>
    </w:p>
    <w:p w14:paraId="3F166663">
      <w:pPr>
        <w:pageBreakBefore w:val="0"/>
        <w:widowControl w:val="0"/>
        <w:kinsoku/>
        <w:wordWrap/>
        <w:topLinePunct w:val="0"/>
        <w:autoSpaceDE/>
        <w:autoSpaceDN/>
        <w:bidi w:val="0"/>
        <w:adjustRightInd/>
        <w:snapToGrid/>
        <w:spacing w:after="0" w:line="400" w:lineRule="exact"/>
        <w:ind w:left="425" w:firstLine="0" w:firstLineChars="0"/>
        <w:jc w:val="both"/>
        <w:textAlignment w:val="auto"/>
        <w:rPr>
          <w:rFonts w:ascii="Tahoma" w:hAnsi="Tahoma" w:eastAsia="微软雅黑" w:cstheme="minorBidi"/>
          <w:color w:val="auto"/>
          <w:sz w:val="22"/>
          <w:szCs w:val="22"/>
          <w:highlight w:val="none"/>
          <w:lang w:val="en-US" w:eastAsia="zh-CN" w:bidi="ar-SA"/>
        </w:rPr>
      </w:pPr>
    </w:p>
    <w:p w14:paraId="0000316A">
      <w:pPr>
        <w:pStyle w:val="4"/>
        <w:bidi w:val="0"/>
        <w:rPr>
          <w:rFonts w:hint="eastAsia" w:eastAsia="宋体"/>
          <w:color w:val="auto"/>
          <w:highlight w:val="none"/>
          <w:lang w:val="en-US" w:eastAsia="zh-CN"/>
        </w:rPr>
      </w:pPr>
      <w:bookmarkStart w:id="153" w:name="_Toc12457"/>
      <w:bookmarkStart w:id="154" w:name="_Toc20435"/>
      <w:bookmarkStart w:id="155" w:name="_Toc4792"/>
      <w:r>
        <w:rPr>
          <w:rFonts w:hint="eastAsia" w:eastAsia="宋体"/>
          <w:color w:val="auto"/>
          <w:highlight w:val="none"/>
          <w:lang w:val="en-US" w:eastAsia="zh-CN"/>
        </w:rPr>
        <w:t>15.★响应有效期</w:t>
      </w:r>
      <w:bookmarkEnd w:id="153"/>
      <w:bookmarkEnd w:id="154"/>
      <w:bookmarkEnd w:id="155"/>
    </w:p>
    <w:p w14:paraId="775C8C54">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359D394C">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应根据</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须知的规定在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日后的90天内保持有效。</w:t>
      </w:r>
    </w:p>
    <w:p w14:paraId="72690E4B">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14:paraId="32979A1D">
      <w:pPr>
        <w:pStyle w:val="4"/>
        <w:bidi w:val="0"/>
        <w:rPr>
          <w:rFonts w:hint="eastAsia" w:eastAsia="宋体"/>
          <w:color w:val="auto"/>
          <w:highlight w:val="none"/>
          <w:lang w:val="en-US" w:eastAsia="zh-CN"/>
        </w:rPr>
      </w:pPr>
      <w:bookmarkStart w:id="156" w:name="_Toc28431"/>
      <w:bookmarkStart w:id="157" w:name="_Toc11339"/>
      <w:bookmarkStart w:id="158" w:name="_Toc20804"/>
      <w:r>
        <w:rPr>
          <w:rFonts w:hint="eastAsia" w:eastAsia="宋体"/>
          <w:color w:val="auto"/>
          <w:highlight w:val="none"/>
          <w:lang w:val="en-US" w:eastAsia="zh-CN"/>
        </w:rPr>
        <w:t>16.★</w:t>
      </w:r>
      <w:bookmarkEnd w:id="156"/>
      <w:bookmarkEnd w:id="157"/>
      <w:bookmarkEnd w:id="158"/>
      <w:r>
        <w:rPr>
          <w:rFonts w:hint="eastAsia"/>
          <w:color w:val="auto"/>
          <w:highlight w:val="none"/>
          <w:lang w:val="en-US" w:eastAsia="zh-CN"/>
        </w:rPr>
        <w:t>响应保证金</w:t>
      </w:r>
    </w:p>
    <w:p w14:paraId="4A9F9CB8">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b/>
          <w:bCs/>
          <w:vanish/>
          <w:color w:val="auto"/>
          <w:sz w:val="21"/>
          <w:szCs w:val="21"/>
          <w:highlight w:val="none"/>
          <w:lang w:val="en-US" w:eastAsia="zh-CN" w:bidi="ar-SA"/>
        </w:rPr>
      </w:pPr>
      <w:bookmarkStart w:id="159" w:name="_Ref179619405"/>
      <w:r>
        <w:rPr>
          <w:rFonts w:hint="eastAsia" w:ascii="宋体" w:hAnsi="宋体" w:cstheme="minorBidi"/>
          <w:b/>
          <w:bCs/>
          <w:vanish/>
          <w:color w:val="auto"/>
          <w:sz w:val="21"/>
          <w:szCs w:val="21"/>
          <w:highlight w:val="none"/>
          <w:lang w:val="en-US" w:eastAsia="zh-CN" w:bidi="ar-SA"/>
        </w:rPr>
        <w:t>本项目不收取响应保证金</w:t>
      </w:r>
    </w:p>
    <w:bookmarkEnd w:id="159"/>
    <w:p w14:paraId="17B620E1">
      <w:pPr>
        <w:widowControl/>
        <w:adjustRightInd w:val="0"/>
        <w:snapToGrid w:val="0"/>
        <w:spacing w:after="200"/>
        <w:jc w:val="left"/>
        <w:rPr>
          <w:rFonts w:ascii="Tahoma" w:hAnsi="Tahoma" w:eastAsia="微软雅黑"/>
          <w:color w:val="auto"/>
          <w:kern w:val="0"/>
          <w:sz w:val="22"/>
          <w:szCs w:val="22"/>
          <w:highlight w:val="none"/>
        </w:rPr>
      </w:pPr>
    </w:p>
    <w:p w14:paraId="6F4ECF98">
      <w:pPr>
        <w:pStyle w:val="4"/>
        <w:bidi w:val="0"/>
        <w:rPr>
          <w:rFonts w:hint="eastAsia" w:eastAsia="宋体"/>
          <w:color w:val="auto"/>
          <w:highlight w:val="none"/>
          <w:lang w:val="en-US" w:eastAsia="zh-CN"/>
        </w:rPr>
      </w:pPr>
      <w:bookmarkStart w:id="160" w:name="_Toc5055"/>
      <w:bookmarkStart w:id="161" w:name="_Toc17970"/>
      <w:bookmarkStart w:id="162" w:name="_Toc303084264"/>
      <w:bookmarkStart w:id="163" w:name="_Toc382049111"/>
      <w:bookmarkStart w:id="164" w:name="_Toc24997"/>
      <w:bookmarkStart w:id="165" w:name="_Toc21699"/>
      <w:r>
        <w:rPr>
          <w:rFonts w:hint="eastAsia" w:eastAsia="宋体"/>
          <w:color w:val="auto"/>
          <w:highlight w:val="none"/>
          <w:lang w:val="en-US" w:eastAsia="zh-CN"/>
        </w:rPr>
        <w:t>17.响应文件的装订，签署，密封和标记</w:t>
      </w:r>
      <w:bookmarkEnd w:id="160"/>
      <w:bookmarkEnd w:id="161"/>
      <w:bookmarkEnd w:id="162"/>
      <w:bookmarkEnd w:id="163"/>
      <w:bookmarkEnd w:id="164"/>
      <w:bookmarkEnd w:id="165"/>
    </w:p>
    <w:p w14:paraId="64970BD1">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7CA39D9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为方便磋商小组对响应文件进行评审</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建议供应商对响应文件进行装订，</w:t>
      </w:r>
      <w:r>
        <w:rPr>
          <w:rFonts w:ascii="宋体" w:hAnsi="宋体" w:eastAsia="宋体"/>
          <w:color w:val="auto"/>
          <w:kern w:val="0"/>
          <w:sz w:val="21"/>
          <w:szCs w:val="21"/>
          <w:highlight w:val="none"/>
        </w:rPr>
        <w:t>对未经装订的</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可能发生的文件缺</w:t>
      </w:r>
      <w:r>
        <w:rPr>
          <w:rFonts w:hint="eastAsia" w:ascii="宋体" w:hAnsi="宋体" w:eastAsia="宋体"/>
          <w:color w:val="auto"/>
          <w:kern w:val="0"/>
          <w:sz w:val="21"/>
          <w:szCs w:val="21"/>
          <w:highlight w:val="none"/>
        </w:rPr>
        <w:t>损</w:t>
      </w:r>
      <w:r>
        <w:rPr>
          <w:rFonts w:ascii="宋体" w:hAnsi="宋体" w:eastAsia="宋体"/>
          <w:color w:val="auto"/>
          <w:kern w:val="0"/>
          <w:sz w:val="21"/>
          <w:szCs w:val="21"/>
          <w:highlight w:val="none"/>
        </w:rPr>
        <w:t>，由此产生的后果由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承担。</w:t>
      </w:r>
    </w:p>
    <w:p w14:paraId="6115DD0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正本均须用不褪色墨水书写或打印。</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的副本可采用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的正本复印件，每套</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应当标</w:t>
      </w:r>
      <w:r>
        <w:rPr>
          <w:rFonts w:ascii="宋体" w:hAnsi="宋体" w:eastAsia="宋体"/>
          <w:color w:val="auto"/>
          <w:kern w:val="0"/>
          <w:sz w:val="21"/>
          <w:szCs w:val="21"/>
          <w:highlight w:val="none"/>
        </w:rPr>
        <w:t>明“正本”</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的字样</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的【正本】及所有【副本】的封面及骑缝均须加盖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公章（文件每页盖章等同于盖骑缝章）。若</w:t>
      </w:r>
      <w:r>
        <w:rPr>
          <w:rFonts w:ascii="宋体" w:hAnsi="宋体" w:eastAsia="宋体"/>
          <w:color w:val="auto"/>
          <w:kern w:val="0"/>
          <w:sz w:val="21"/>
          <w:szCs w:val="21"/>
          <w:highlight w:val="none"/>
        </w:rPr>
        <w:t>正本</w:t>
      </w:r>
      <w:r>
        <w:rPr>
          <w:rFonts w:hint="eastAsia" w:ascii="宋体" w:hAnsi="宋体" w:eastAsia="宋体"/>
          <w:color w:val="auto"/>
          <w:kern w:val="0"/>
          <w:sz w:val="21"/>
          <w:szCs w:val="21"/>
          <w:highlight w:val="none"/>
        </w:rPr>
        <w:t>与</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不符，以</w:t>
      </w:r>
      <w:r>
        <w:rPr>
          <w:rFonts w:ascii="宋体" w:hAnsi="宋体" w:eastAsia="宋体"/>
          <w:color w:val="auto"/>
          <w:kern w:val="0"/>
          <w:sz w:val="21"/>
          <w:szCs w:val="21"/>
          <w:highlight w:val="none"/>
        </w:rPr>
        <w:t>正本为准。</w:t>
      </w:r>
    </w:p>
    <w:p w14:paraId="6F716DAC">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kern w:val="0"/>
          <w:sz w:val="21"/>
          <w:szCs w:val="21"/>
          <w:highlight w:val="none"/>
          <w:lang w:eastAsia="zh-CN"/>
        </w:rPr>
        <w:t>。</w:t>
      </w:r>
    </w:p>
    <w:p w14:paraId="3F0E5C4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建议供应商</w:t>
      </w:r>
      <w:r>
        <w:rPr>
          <w:rFonts w:hint="eastAsia" w:ascii="宋体" w:hAnsi="宋体" w:eastAsia="宋体"/>
          <w:color w:val="auto"/>
          <w:kern w:val="0"/>
          <w:sz w:val="21"/>
          <w:szCs w:val="21"/>
          <w:highlight w:val="none"/>
        </w:rPr>
        <w:t>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kern w:val="0"/>
          <w:sz w:val="21"/>
          <w:szCs w:val="21"/>
          <w:highlight w:val="none"/>
          <w:lang w:eastAsia="zh-CN"/>
        </w:rPr>
        <w:t>（“报价文件”除外）</w:t>
      </w:r>
      <w:r>
        <w:rPr>
          <w:rFonts w:hint="eastAsia" w:ascii="宋体" w:hAnsi="宋体" w:eastAsia="宋体"/>
          <w:color w:val="auto"/>
          <w:kern w:val="0"/>
          <w:sz w:val="21"/>
          <w:szCs w:val="21"/>
          <w:highlight w:val="none"/>
        </w:rPr>
        <w:t>。电子文件与正本密封包装，随正本提交。</w:t>
      </w:r>
    </w:p>
    <w:p w14:paraId="1E5450D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电子文件内容包括：由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自行制作的与正本文件一致的所有文件。电子文件</w:t>
      </w:r>
      <w:r>
        <w:rPr>
          <w:rFonts w:hint="eastAsia" w:ascii="宋体" w:hAnsi="宋体" w:eastAsia="宋体"/>
          <w:color w:val="auto"/>
          <w:kern w:val="0"/>
          <w:sz w:val="21"/>
          <w:szCs w:val="21"/>
          <w:highlight w:val="none"/>
        </w:rPr>
        <w:t>由</w:t>
      </w:r>
      <w:r>
        <w:rPr>
          <w:rFonts w:ascii="宋体" w:hAnsi="宋体" w:eastAsia="宋体"/>
          <w:color w:val="auto"/>
          <w:kern w:val="0"/>
          <w:sz w:val="21"/>
          <w:szCs w:val="21"/>
          <w:highlight w:val="none"/>
        </w:rPr>
        <w:t>光盘</w:t>
      </w:r>
      <w:r>
        <w:rPr>
          <w:rFonts w:hint="eastAsia" w:ascii="宋体" w:hAnsi="宋体" w:eastAsia="宋体"/>
          <w:color w:val="auto"/>
          <w:kern w:val="0"/>
          <w:sz w:val="21"/>
          <w:szCs w:val="21"/>
          <w:highlight w:val="none"/>
        </w:rPr>
        <w:t>或U盘</w:t>
      </w:r>
      <w:r>
        <w:rPr>
          <w:rFonts w:ascii="宋体" w:hAnsi="宋体" w:eastAsia="宋体"/>
          <w:color w:val="auto"/>
          <w:kern w:val="0"/>
          <w:sz w:val="21"/>
          <w:szCs w:val="21"/>
          <w:highlight w:val="none"/>
        </w:rPr>
        <w:t>储存</w:t>
      </w:r>
      <w:r>
        <w:rPr>
          <w:rFonts w:hint="eastAsia" w:ascii="宋体" w:hAnsi="宋体" w:eastAsia="宋体"/>
          <w:color w:val="auto"/>
          <w:kern w:val="0"/>
          <w:sz w:val="21"/>
          <w:szCs w:val="21"/>
          <w:highlight w:val="none"/>
          <w:lang w:eastAsia="zh-CN"/>
        </w:rPr>
        <w:t>（须含盖章版PDF响应文件和WORD版响应文件各一版，文字采用WORD文档，计算表格采用 EXCEL文档）</w:t>
      </w:r>
      <w:r>
        <w:rPr>
          <w:rFonts w:hint="eastAsia" w:ascii="宋体" w:hAnsi="宋体" w:eastAsia="宋体"/>
          <w:color w:val="auto"/>
          <w:kern w:val="0"/>
          <w:sz w:val="21"/>
          <w:szCs w:val="21"/>
          <w:highlight w:val="none"/>
        </w:rPr>
        <w:t>，并注明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名称及项目名称、</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一同密封提交。</w:t>
      </w:r>
    </w:p>
    <w:p w14:paraId="33F9519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除</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对错误处修改外，全套</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应无涂改或行间插字和增删。如有修改，修改处</w:t>
      </w:r>
      <w:r>
        <w:rPr>
          <w:rFonts w:hint="eastAsia" w:ascii="宋体" w:hAnsi="宋体" w:eastAsia="宋体"/>
          <w:color w:val="auto"/>
          <w:kern w:val="0"/>
          <w:sz w:val="21"/>
          <w:szCs w:val="21"/>
          <w:highlight w:val="none"/>
        </w:rPr>
        <w:t>须由法定代表人或其正式授权代表在旁边签字及盖章</w:t>
      </w:r>
      <w:r>
        <w:rPr>
          <w:rFonts w:ascii="宋体" w:hAnsi="宋体" w:eastAsia="宋体"/>
          <w:color w:val="auto"/>
          <w:kern w:val="0"/>
          <w:sz w:val="21"/>
          <w:szCs w:val="21"/>
          <w:highlight w:val="none"/>
        </w:rPr>
        <w:t>。</w:t>
      </w:r>
    </w:p>
    <w:p w14:paraId="6C0805A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供应商应将报价一览表、法人代表证明书、法定代表人授权书（法人响应无需提交授权书）、</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（加盖公章）和</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支付凭证银行汇款底单（复印件加盖公章）单独密封提交，并在信封上标明“报价文件”字样。“报价文件”份数及签章等要求与响应文件正本相同（1份）。若供应商采用担保函形式的，则无需密封在“报价文件”内，供应商需在接收响应文件截止时间前将原件提交至代理机构</w:t>
      </w:r>
      <w:r>
        <w:rPr>
          <w:rFonts w:hint="eastAsia" w:ascii="宋体" w:hAnsi="宋体" w:eastAsia="宋体"/>
          <w:color w:val="auto"/>
          <w:kern w:val="0"/>
          <w:sz w:val="21"/>
          <w:szCs w:val="21"/>
          <w:highlight w:val="none"/>
        </w:rPr>
        <w:t>。</w:t>
      </w:r>
    </w:p>
    <w:p w14:paraId="3500A66C">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供应商未提交</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中无“报价一览表”的，报价以响应文件正本为准。</w:t>
      </w:r>
    </w:p>
    <w:p w14:paraId="2ABB64DD">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所有的信封均应注明： </w:t>
      </w:r>
    </w:p>
    <w:p w14:paraId="2E093C51">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收件人：</w:t>
      </w:r>
      <w:r>
        <w:rPr>
          <w:rFonts w:hint="eastAsia" w:ascii="宋体" w:hAnsi="宋体"/>
          <w:color w:val="auto"/>
          <w:kern w:val="0"/>
          <w:sz w:val="21"/>
          <w:szCs w:val="21"/>
          <w:highlight w:val="none"/>
          <w:lang w:eastAsia="zh-CN"/>
        </w:rPr>
        <w:t>国顺招标有限公司</w:t>
      </w:r>
    </w:p>
    <w:p w14:paraId="04A718D5">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w:t>
      </w:r>
    </w:p>
    <w:p w14:paraId="4A2017D1">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项目名称：</w:t>
      </w:r>
    </w:p>
    <w:p w14:paraId="30F2C2FB">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w:t>
      </w:r>
    </w:p>
    <w:p w14:paraId="473F3112">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采购代理机构将拒绝接收出现以下情况的响应文件：</w:t>
      </w:r>
    </w:p>
    <w:p w14:paraId="0E8E99D9">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采用透明包装进行密封或未进行密封的响应文件；</w:t>
      </w:r>
    </w:p>
    <w:p w14:paraId="5195975E">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密封破损导致响应文件内容直接或间接泄露的响应文件；</w:t>
      </w:r>
    </w:p>
    <w:p w14:paraId="4A757B22">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密封信封上项目编号错误的响应文件；</w:t>
      </w:r>
    </w:p>
    <w:p w14:paraId="318590E8">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未在规定时间内领购文件的供应商的响应文件；</w:t>
      </w:r>
    </w:p>
    <w:p w14:paraId="6C1C0D40">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项目名称出现严重歧义或未标注所投项目信息导致无法分辨所投项目为本项目的响应文件；</w:t>
      </w:r>
    </w:p>
    <w:p w14:paraId="2CFAF011">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采用传真、电传的响应文件；</w:t>
      </w:r>
    </w:p>
    <w:p w14:paraId="4A8AE766">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磋商文件规定的其他情形。</w:t>
      </w:r>
    </w:p>
    <w:p w14:paraId="2A72422E">
      <w:pPr>
        <w:pageBreakBefore w:val="0"/>
        <w:widowControl w:val="0"/>
        <w:numPr>
          <w:ilvl w:val="1"/>
          <w:numId w:val="6"/>
        </w:numPr>
        <w:tabs>
          <w:tab w:val="left" w:pos="440"/>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采购代理机构对所有</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的误投或提前启封概不负责。</w:t>
      </w:r>
    </w:p>
    <w:p w14:paraId="47050E54">
      <w:pPr>
        <w:pageBreakBefore w:val="0"/>
        <w:widowControl w:val="0"/>
        <w:numPr>
          <w:ilvl w:val="1"/>
          <w:numId w:val="6"/>
        </w:numPr>
        <w:tabs>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同时参加几个包</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时必须按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要求按包号分别制作</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，分别密封递交。</w:t>
      </w:r>
    </w:p>
    <w:p w14:paraId="07D76A6E">
      <w:pPr>
        <w:pageBreakBefore w:val="0"/>
        <w:widowControl w:val="0"/>
        <w:numPr>
          <w:ilvl w:val="1"/>
          <w:numId w:val="6"/>
        </w:numPr>
        <w:tabs>
          <w:tab w:val="left" w:pos="440"/>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递交的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中所提供的通讯方式应保持联络畅通，因联系不上而导致的所有后果由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14:paraId="66DE657F">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50851C68">
      <w:pPr>
        <w:pStyle w:val="4"/>
        <w:bidi w:val="0"/>
        <w:rPr>
          <w:rFonts w:hint="eastAsia" w:eastAsia="宋体"/>
          <w:color w:val="auto"/>
          <w:highlight w:val="none"/>
          <w:lang w:val="en-US" w:eastAsia="zh-CN"/>
        </w:rPr>
      </w:pPr>
      <w:bookmarkStart w:id="166" w:name="_Toc14913"/>
      <w:bookmarkStart w:id="167" w:name="_Toc1911"/>
      <w:bookmarkStart w:id="168" w:name="_Toc3249"/>
      <w:r>
        <w:rPr>
          <w:rFonts w:hint="eastAsia" w:eastAsia="宋体"/>
          <w:color w:val="auto"/>
          <w:highlight w:val="none"/>
          <w:lang w:val="en-US" w:eastAsia="zh-CN"/>
        </w:rPr>
        <w:t>18.迟交的响应文件</w:t>
      </w:r>
      <w:bookmarkEnd w:id="166"/>
      <w:bookmarkEnd w:id="167"/>
      <w:bookmarkEnd w:id="168"/>
    </w:p>
    <w:p w14:paraId="1858D144">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52ECA44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时间之后提交的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，采购代理机构将拒绝接收</w:t>
      </w:r>
      <w:r>
        <w:rPr>
          <w:rFonts w:ascii="宋体" w:hAnsi="宋体" w:eastAsia="宋体"/>
          <w:color w:val="auto"/>
          <w:kern w:val="0"/>
          <w:sz w:val="21"/>
          <w:szCs w:val="21"/>
          <w:highlight w:val="none"/>
        </w:rPr>
        <w:t>。</w:t>
      </w:r>
    </w:p>
    <w:p w14:paraId="5A16C533">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有违反其他法律规定情形的，采购代理机构将拒绝接收。</w:t>
      </w:r>
    </w:p>
    <w:p w14:paraId="5FBE4784">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068FC3E6">
      <w:pPr>
        <w:pStyle w:val="4"/>
        <w:bidi w:val="0"/>
        <w:rPr>
          <w:rFonts w:hint="eastAsia" w:eastAsia="宋体"/>
          <w:color w:val="auto"/>
          <w:highlight w:val="none"/>
          <w:lang w:val="en-US" w:eastAsia="zh-CN"/>
        </w:rPr>
      </w:pPr>
      <w:bookmarkStart w:id="169" w:name="_Toc22059"/>
      <w:bookmarkStart w:id="170" w:name="_Toc13946"/>
      <w:bookmarkStart w:id="171" w:name="_Toc8387"/>
      <w:r>
        <w:rPr>
          <w:rFonts w:hint="eastAsia" w:eastAsia="宋体"/>
          <w:color w:val="auto"/>
          <w:highlight w:val="none"/>
          <w:lang w:val="en-US" w:eastAsia="zh-CN"/>
        </w:rPr>
        <w:t>19.磋商样品、磋商演示（如有要求）</w:t>
      </w:r>
      <w:bookmarkEnd w:id="169"/>
      <w:bookmarkEnd w:id="170"/>
      <w:bookmarkEnd w:id="171"/>
    </w:p>
    <w:p w14:paraId="5FC81FE5">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4EF2584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如有必要，采购代理机构可以要求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提供本服务项目涉及的部分设备或产品样品，</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时应提交《样品清单》。</w:t>
      </w:r>
    </w:p>
    <w:p w14:paraId="400130F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在提供样品时，应在所提供的样品表面显著位置标注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的名称、包号、样品名称、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规定的服务或货物编号。</w:t>
      </w:r>
    </w:p>
    <w:p w14:paraId="21AAB25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样品作为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的一部分，除非另有说明，</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单位的样品将作为履约验收标准的参考不再退还，未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单位须在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公告发布后五个工作日内，前往采购代理机构领取</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样品，逾期不领，采购代理机构将不承担样品的保管责任，由此引发的样品丢失、毁损，采购代理机构不予负责。</w:t>
      </w:r>
    </w:p>
    <w:p w14:paraId="78251D3A">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14:paraId="7DD827B7">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14:paraId="523A76D6">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015624C3">
      <w:pPr>
        <w:pStyle w:val="4"/>
        <w:bidi w:val="0"/>
        <w:rPr>
          <w:rFonts w:hint="eastAsia" w:eastAsia="宋体"/>
          <w:color w:val="auto"/>
          <w:highlight w:val="none"/>
          <w:lang w:val="en-US" w:eastAsia="zh-CN"/>
        </w:rPr>
      </w:pPr>
      <w:bookmarkStart w:id="172" w:name="_Toc9777"/>
      <w:bookmarkStart w:id="173" w:name="_Toc303084265"/>
      <w:bookmarkStart w:id="174" w:name="_Toc382049112"/>
      <w:bookmarkStart w:id="175" w:name="_Toc518"/>
      <w:bookmarkStart w:id="176" w:name="_Toc1364"/>
      <w:bookmarkStart w:id="177" w:name="_Toc24777"/>
      <w:r>
        <w:rPr>
          <w:rFonts w:hint="eastAsia" w:eastAsia="宋体"/>
          <w:color w:val="auto"/>
          <w:highlight w:val="none"/>
          <w:lang w:val="en-US" w:eastAsia="zh-CN"/>
        </w:rPr>
        <w:t>20.响应截止期</w:t>
      </w:r>
      <w:bookmarkEnd w:id="172"/>
      <w:bookmarkEnd w:id="173"/>
      <w:bookmarkEnd w:id="174"/>
      <w:bookmarkEnd w:id="175"/>
      <w:bookmarkEnd w:id="176"/>
      <w:bookmarkEnd w:id="177"/>
    </w:p>
    <w:p w14:paraId="3892D482">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683A1A8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应在</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规定的截止日期和时间内，将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送达到指定地点。</w:t>
      </w:r>
    </w:p>
    <w:p w14:paraId="27234EF4">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233E7FAD">
      <w:pPr>
        <w:pStyle w:val="4"/>
        <w:bidi w:val="0"/>
        <w:rPr>
          <w:rFonts w:hint="eastAsia" w:eastAsia="宋体"/>
          <w:color w:val="auto"/>
          <w:highlight w:val="none"/>
          <w:lang w:val="en-US" w:eastAsia="zh-CN"/>
        </w:rPr>
      </w:pPr>
      <w:bookmarkStart w:id="178" w:name="_Toc14390"/>
      <w:bookmarkStart w:id="179" w:name="_Toc28776"/>
      <w:bookmarkStart w:id="180" w:name="_Toc4603"/>
      <w:r>
        <w:rPr>
          <w:rFonts w:hint="eastAsia" w:eastAsia="宋体"/>
          <w:color w:val="auto"/>
          <w:highlight w:val="none"/>
          <w:lang w:val="en-US" w:eastAsia="zh-CN"/>
        </w:rPr>
        <w:t>21.响应文件的补充、修改与撤回</w:t>
      </w:r>
      <w:bookmarkEnd w:id="178"/>
      <w:bookmarkEnd w:id="179"/>
      <w:bookmarkEnd w:id="180"/>
    </w:p>
    <w:p w14:paraId="347E31F7">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45EE325">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截止时间前，可以对所提交的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进行补充、修改或撤回，并以纸质版形式通知采购代理机构。在提交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截止时间之后，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做出任何的补充和修改。</w:t>
      </w:r>
    </w:p>
    <w:p w14:paraId="09FE02D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的补充、修改的内容应当按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要求的签署、盖章、密封后，作为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的组成部分。并按照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规定密封和标记的要求提交，并在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密封袋上标明“补充、修改”字样。</w:t>
      </w:r>
    </w:p>
    <w:p w14:paraId="2A2FB21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一经递交不予退还。</w:t>
      </w:r>
    </w:p>
    <w:p w14:paraId="50A5C89A">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截止时间至</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满之前，</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不得撤回其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，否则其</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将不予退还。</w:t>
      </w:r>
    </w:p>
    <w:p w14:paraId="378B13E6">
      <w:pPr>
        <w:keepNext w:val="0"/>
        <w:keepLines w:val="0"/>
        <w:pageBreakBefore w:val="0"/>
        <w:widowControl/>
        <w:kinsoku/>
        <w:wordWrap/>
        <w:overflowPunct/>
        <w:topLinePunct w:val="0"/>
        <w:autoSpaceDE/>
        <w:autoSpaceDN/>
        <w:bidi w:val="0"/>
        <w:adjustRightInd w:val="0"/>
        <w:snapToGrid w:val="0"/>
        <w:spacing w:before="0" w:after="0"/>
        <w:ind w:left="119"/>
        <w:textAlignment w:val="auto"/>
        <w:rPr>
          <w:rFonts w:ascii="宋体" w:hAnsi="宋体" w:eastAsia="宋体" w:cs="宋体"/>
          <w:color w:val="auto"/>
          <w:sz w:val="24"/>
          <w:szCs w:val="22"/>
          <w:highlight w:val="none"/>
          <w:lang w:val="zh-CN" w:eastAsia="zh-CN" w:bidi="zh-CN"/>
        </w:rPr>
      </w:pPr>
    </w:p>
    <w:p w14:paraId="11575521">
      <w:pPr>
        <w:pStyle w:val="4"/>
        <w:bidi w:val="0"/>
        <w:rPr>
          <w:rFonts w:hint="eastAsia" w:eastAsia="宋体"/>
          <w:color w:val="auto"/>
          <w:highlight w:val="none"/>
          <w:lang w:val="en-US" w:eastAsia="zh-CN"/>
        </w:rPr>
      </w:pPr>
      <w:bookmarkStart w:id="181" w:name="_Toc11914"/>
      <w:bookmarkStart w:id="182" w:name="_Toc14512"/>
      <w:bookmarkStart w:id="183" w:name="_Toc191"/>
      <w:r>
        <w:rPr>
          <w:rFonts w:hint="eastAsia" w:eastAsia="宋体"/>
          <w:color w:val="auto"/>
          <w:highlight w:val="none"/>
          <w:lang w:val="en-US" w:eastAsia="zh-CN"/>
        </w:rPr>
        <w:t>22.磋商</w:t>
      </w:r>
      <w:bookmarkEnd w:id="181"/>
      <w:bookmarkEnd w:id="182"/>
      <w:bookmarkEnd w:id="183"/>
    </w:p>
    <w:p w14:paraId="2684AA37">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BDC6D5F">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供应商应在《</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邀请》规定的日期、时间和地点递交响应文件并进行现场签到</w:t>
      </w:r>
      <w:r>
        <w:rPr>
          <w:rFonts w:ascii="宋体" w:hAnsi="宋体" w:eastAsia="宋体"/>
          <w:color w:val="auto"/>
          <w:kern w:val="0"/>
          <w:sz w:val="21"/>
          <w:szCs w:val="21"/>
          <w:highlight w:val="none"/>
        </w:rPr>
        <w:t>。</w:t>
      </w:r>
    </w:p>
    <w:p w14:paraId="45C6A1EE">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接收响应文件时间截止</w:t>
      </w:r>
      <w:r>
        <w:rPr>
          <w:rFonts w:hint="eastAsia" w:ascii="宋体" w:hAnsi="宋体" w:eastAsia="宋体"/>
          <w:color w:val="auto"/>
          <w:kern w:val="0"/>
          <w:sz w:val="21"/>
          <w:szCs w:val="21"/>
          <w:highlight w:val="none"/>
        </w:rPr>
        <w:t>，由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或者其推选的代表检查</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的密封情况；经确认密封完好后的响应文件不当众予以拆封，不宣读第一次报价和响应文件的其它主要内容。</w:t>
      </w:r>
    </w:p>
    <w:p w14:paraId="2937EDD4">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rPr>
      </w:pPr>
      <w:r>
        <w:rPr>
          <w:rFonts w:hint="eastAsia" w:ascii="宋体" w:hAnsi="宋体" w:eastAsia="宋体"/>
          <w:color w:val="auto"/>
          <w:kern w:val="0"/>
          <w:sz w:val="21"/>
          <w:szCs w:val="21"/>
          <w:highlight w:val="none"/>
          <w:lang w:val="en-US" w:eastAsia="zh-CN"/>
        </w:rPr>
        <w:t>进入评审环节，通过资格性审查和符合性审查的有效供应商方有资格提交最终报价及进入综合评审。</w:t>
      </w:r>
    </w:p>
    <w:p w14:paraId="7E961157">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default" w:ascii="宋体" w:hAnsi="宋体" w:eastAsia="宋体" w:cs="宋体"/>
          <w:color w:val="auto"/>
          <w:sz w:val="24"/>
          <w:szCs w:val="22"/>
          <w:highlight w:val="none"/>
          <w:lang w:val="en-US" w:eastAsia="zh-CN" w:bidi="zh-CN"/>
        </w:rPr>
      </w:pPr>
      <w:r>
        <w:rPr>
          <w:rFonts w:hint="eastAsia" w:ascii="宋体" w:hAnsi="宋体" w:eastAsia="宋体" w:cs="宋体"/>
          <w:color w:val="auto"/>
          <w:sz w:val="21"/>
          <w:szCs w:val="21"/>
          <w:highlight w:val="none"/>
          <w:lang w:val="en-US" w:eastAsia="zh-CN" w:bidi="zh-CN"/>
        </w:rPr>
        <w:t>22.4. 根据财库〔2015〕124 号，在采购过程中符合要求的供应商只有 2 家的，竞争性磋商采购活动继续进行。</w:t>
      </w:r>
    </w:p>
    <w:p w14:paraId="34972ED2">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14:paraId="31149CB3">
      <w:pPr>
        <w:pStyle w:val="4"/>
        <w:bidi w:val="0"/>
        <w:rPr>
          <w:rFonts w:hint="eastAsia" w:eastAsia="宋体"/>
          <w:color w:val="auto"/>
          <w:highlight w:val="none"/>
          <w:lang w:val="en-US" w:eastAsia="zh-CN"/>
        </w:rPr>
      </w:pPr>
      <w:bookmarkStart w:id="184" w:name="_Toc13823"/>
      <w:bookmarkStart w:id="185" w:name="_Toc19811"/>
      <w:bookmarkStart w:id="186" w:name="_Toc31198"/>
      <w:r>
        <w:rPr>
          <w:rFonts w:hint="eastAsia" w:eastAsia="宋体"/>
          <w:color w:val="auto"/>
          <w:highlight w:val="none"/>
          <w:lang w:val="en-US" w:eastAsia="zh-CN"/>
        </w:rPr>
        <w:t>23.磋商小组及评审方法</w:t>
      </w:r>
      <w:bookmarkEnd w:id="184"/>
      <w:bookmarkEnd w:id="185"/>
      <w:bookmarkEnd w:id="186"/>
    </w:p>
    <w:p w14:paraId="0CEFF07B">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3CD14C3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项目的特点进行组建，并负责</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w:t>
      </w:r>
    </w:p>
    <w:p w14:paraId="2795CC3C">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评审方法：本次</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的评审方法采用综合评分法。</w:t>
      </w:r>
    </w:p>
    <w:p w14:paraId="51F67CC8">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提供新证书与提供在有效期内的旧证书给予同等认可。</w:t>
      </w:r>
    </w:p>
    <w:p w14:paraId="27A62091">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定标原则：在</w:t>
      </w:r>
      <w:r>
        <w:rPr>
          <w:rFonts w:ascii="宋体" w:hAnsi="宋体" w:eastAsia="宋体"/>
          <w:color w:val="auto"/>
          <w:kern w:val="0"/>
          <w:sz w:val="21"/>
          <w:szCs w:val="21"/>
          <w:highlight w:val="none"/>
        </w:rPr>
        <w:t>满足</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实质性要求前提下，按照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规定的各项评价因素进行量化打分，以</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总得分最高的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w:t>
      </w:r>
    </w:p>
    <w:p w14:paraId="1192185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的评审内容，分为商务评议、技术评议和价格评议。评审流程包括符合性检查、澄清问题、比较与评价、推荐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候选人或确定</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、编写</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报告等步骤。</w:t>
      </w:r>
    </w:p>
    <w:p w14:paraId="60BF70F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期间，</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可要求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进行澄清，但不得寻求、提供或允许对</w:t>
      </w:r>
      <w:r>
        <w:rPr>
          <w:rFonts w:hint="eastAsia" w:ascii="宋体" w:hAnsi="宋体" w:eastAsia="宋体"/>
          <w:color w:val="auto"/>
          <w:kern w:val="0"/>
          <w:sz w:val="21"/>
          <w:szCs w:val="21"/>
          <w:highlight w:val="none"/>
          <w:lang w:val="en-US" w:eastAsia="zh-CN"/>
        </w:rPr>
        <w:t>响应报价</w:t>
      </w:r>
      <w:r>
        <w:rPr>
          <w:rFonts w:hint="eastAsia" w:ascii="宋体" w:hAnsi="宋体" w:eastAsia="宋体"/>
          <w:color w:val="auto"/>
          <w:kern w:val="0"/>
          <w:sz w:val="21"/>
          <w:szCs w:val="21"/>
          <w:highlight w:val="none"/>
        </w:rPr>
        <w:t>等实质性内容做任何更改。有关澄清的要求和答复均应以纸质版形式提交，如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拒绝</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要求对其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进行澄清的要求，所造成的后果由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14:paraId="32F7744A">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440DDC6A">
      <w:pPr>
        <w:pStyle w:val="4"/>
        <w:bidi w:val="0"/>
        <w:rPr>
          <w:rFonts w:hint="eastAsia" w:eastAsia="宋体"/>
          <w:color w:val="auto"/>
          <w:highlight w:val="none"/>
          <w:lang w:val="en-US" w:eastAsia="zh-CN"/>
        </w:rPr>
      </w:pPr>
      <w:bookmarkStart w:id="187" w:name="_Toc20823"/>
      <w:bookmarkStart w:id="188" w:name="_Toc9540"/>
      <w:bookmarkStart w:id="189" w:name="_Toc3525"/>
      <w:r>
        <w:rPr>
          <w:rFonts w:hint="eastAsia" w:eastAsia="宋体"/>
          <w:color w:val="auto"/>
          <w:highlight w:val="none"/>
          <w:lang w:val="en-US" w:eastAsia="zh-CN"/>
        </w:rPr>
        <w:t>24.评审原则及评审过程的保密</w:t>
      </w:r>
      <w:bookmarkEnd w:id="187"/>
      <w:bookmarkEnd w:id="188"/>
      <w:bookmarkEnd w:id="189"/>
    </w:p>
    <w:p w14:paraId="533BEBA1">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5EF5E634">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评审的基本原则：</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将依据《中华人民共和国政府采购法》及国家和地方政府有关法规的规定，遵循“</w:t>
      </w:r>
      <w:r>
        <w:rPr>
          <w:rFonts w:hint="eastAsia" w:ascii="宋体" w:hAnsi="宋体" w:eastAsia="宋体"/>
          <w:color w:val="auto"/>
          <w:kern w:val="0"/>
          <w:sz w:val="21"/>
          <w:szCs w:val="21"/>
          <w:highlight w:val="none"/>
          <w:lang w:eastAsia="zh-CN"/>
        </w:rPr>
        <w:t>客观、公正、审慎</w:t>
      </w:r>
      <w:r>
        <w:rPr>
          <w:rFonts w:hint="eastAsia" w:ascii="宋体" w:hAnsi="宋体" w:eastAsia="宋体"/>
          <w:color w:val="auto"/>
          <w:kern w:val="0"/>
          <w:sz w:val="21"/>
          <w:szCs w:val="21"/>
          <w:highlight w:val="none"/>
        </w:rPr>
        <w:t>”的原则进行评审工作。</w:t>
      </w:r>
    </w:p>
    <w:p w14:paraId="76945B1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从</w:t>
      </w:r>
      <w:r>
        <w:rPr>
          <w:rFonts w:hint="eastAsia" w:ascii="宋体" w:hAnsi="宋体" w:eastAsia="宋体"/>
          <w:color w:val="auto"/>
          <w:kern w:val="0"/>
          <w:sz w:val="21"/>
          <w:szCs w:val="21"/>
          <w:highlight w:val="none"/>
          <w:lang w:eastAsia="zh-CN"/>
        </w:rPr>
        <w:t>递交响应文件截止</w:t>
      </w:r>
      <w:r>
        <w:rPr>
          <w:rFonts w:hint="eastAsia" w:ascii="宋体" w:hAnsi="宋体" w:eastAsia="宋体"/>
          <w:color w:val="auto"/>
          <w:kern w:val="0"/>
          <w:sz w:val="21"/>
          <w:szCs w:val="21"/>
          <w:highlight w:val="none"/>
        </w:rPr>
        <w:t>到签订合同，凡与审查、澄清、评审和</w:t>
      </w:r>
      <w:r>
        <w:rPr>
          <w:rFonts w:hint="eastAsia" w:ascii="宋体" w:hAnsi="宋体" w:eastAsia="宋体"/>
          <w:color w:val="auto"/>
          <w:kern w:val="0"/>
          <w:sz w:val="21"/>
          <w:szCs w:val="21"/>
          <w:highlight w:val="none"/>
          <w:lang w:val="en-US" w:eastAsia="zh-CN"/>
        </w:rPr>
        <w:t>供应商响应文件</w:t>
      </w:r>
      <w:r>
        <w:rPr>
          <w:rFonts w:hint="eastAsia" w:ascii="宋体" w:hAnsi="宋体" w:eastAsia="宋体"/>
          <w:color w:val="auto"/>
          <w:kern w:val="0"/>
          <w:sz w:val="21"/>
          <w:szCs w:val="21"/>
          <w:highlight w:val="none"/>
        </w:rPr>
        <w:t>有关的资料以及定标意见相关的事项，均不得向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及与</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无关的其他人透露。</w:t>
      </w:r>
    </w:p>
    <w:p w14:paraId="3A99765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任何单位和个人不得非法干预、影响</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的过程和结果。</w:t>
      </w:r>
    </w:p>
    <w:p w14:paraId="78A823B2">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23035CC9">
      <w:pPr>
        <w:pStyle w:val="4"/>
        <w:bidi w:val="0"/>
        <w:rPr>
          <w:rFonts w:hint="eastAsia" w:eastAsia="宋体"/>
          <w:color w:val="auto"/>
          <w:highlight w:val="none"/>
          <w:lang w:val="en-US" w:eastAsia="zh-CN"/>
        </w:rPr>
      </w:pPr>
      <w:bookmarkStart w:id="190" w:name="_Toc7072"/>
      <w:bookmarkStart w:id="191" w:name="_Toc18014"/>
      <w:bookmarkStart w:id="192" w:name="_Toc15479"/>
      <w:r>
        <w:rPr>
          <w:rFonts w:hint="eastAsia" w:eastAsia="宋体"/>
          <w:color w:val="auto"/>
          <w:highlight w:val="none"/>
          <w:lang w:val="en-US" w:eastAsia="zh-CN"/>
        </w:rPr>
        <w:t>25.响应文件的初审</w:t>
      </w:r>
      <w:bookmarkEnd w:id="190"/>
      <w:bookmarkEnd w:id="191"/>
      <w:bookmarkEnd w:id="192"/>
    </w:p>
    <w:p w14:paraId="7289724B">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46B5B5F4">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lang w:val="en-US" w:eastAsia="zh-CN"/>
        </w:rPr>
        <w:t>进入评审环节，磋商小组</w:t>
      </w:r>
      <w:r>
        <w:rPr>
          <w:rFonts w:hint="eastAsia" w:ascii="宋体" w:hAnsi="宋体" w:eastAsia="宋体"/>
          <w:color w:val="auto"/>
          <w:kern w:val="0"/>
          <w:sz w:val="21"/>
          <w:szCs w:val="21"/>
          <w:highlight w:val="none"/>
        </w:rPr>
        <w:t>将依法对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的进行</w:t>
      </w:r>
      <w:r>
        <w:rPr>
          <w:rFonts w:hint="eastAsia" w:ascii="宋体" w:hAnsi="宋体" w:eastAsia="宋体"/>
          <w:color w:val="auto"/>
          <w:kern w:val="0"/>
          <w:sz w:val="21"/>
          <w:szCs w:val="21"/>
          <w:highlight w:val="none"/>
          <w:lang w:val="en-US" w:eastAsia="zh-CN"/>
        </w:rPr>
        <w:t>资格性</w:t>
      </w:r>
      <w:r>
        <w:rPr>
          <w:rFonts w:hint="eastAsia" w:ascii="宋体" w:hAnsi="宋体" w:eastAsia="宋体"/>
          <w:color w:val="auto"/>
          <w:kern w:val="0"/>
          <w:sz w:val="21"/>
          <w:szCs w:val="21"/>
          <w:highlight w:val="none"/>
        </w:rPr>
        <w:t>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存在不符合资格性检查所要求事项情况的，</w:t>
      </w:r>
      <w:r>
        <w:rPr>
          <w:rFonts w:hint="eastAsia" w:ascii="宋体" w:hAnsi="宋体" w:eastAsia="宋体"/>
          <w:color w:val="auto"/>
          <w:kern w:val="0"/>
          <w:sz w:val="21"/>
          <w:szCs w:val="21"/>
          <w:highlight w:val="none"/>
          <w:lang w:val="en-US" w:eastAsia="zh-CN"/>
        </w:rPr>
        <w:t>其报价及响应文件作</w:t>
      </w:r>
      <w:r>
        <w:rPr>
          <w:rFonts w:hint="eastAsia" w:ascii="宋体" w:hAnsi="宋体" w:eastAsia="宋体"/>
          <w:color w:val="auto"/>
          <w:kern w:val="0"/>
          <w:sz w:val="21"/>
          <w:szCs w:val="21"/>
          <w:highlight w:val="none"/>
        </w:rPr>
        <w:t>无效</w:t>
      </w:r>
      <w:r>
        <w:rPr>
          <w:rFonts w:hint="eastAsia" w:ascii="宋体" w:hAnsi="宋体" w:eastAsia="宋体"/>
          <w:color w:val="auto"/>
          <w:kern w:val="0"/>
          <w:sz w:val="21"/>
          <w:szCs w:val="21"/>
          <w:highlight w:val="none"/>
          <w:lang w:val="en-US" w:eastAsia="zh-CN"/>
        </w:rPr>
        <w:t>处理</w:t>
      </w:r>
      <w:r>
        <w:rPr>
          <w:rFonts w:hint="eastAsia" w:ascii="宋体" w:hAnsi="宋体" w:eastAsia="宋体"/>
          <w:color w:val="auto"/>
          <w:kern w:val="0"/>
          <w:sz w:val="21"/>
          <w:szCs w:val="21"/>
          <w:highlight w:val="none"/>
        </w:rPr>
        <w:t>。未通过资格</w:t>
      </w:r>
      <w:r>
        <w:rPr>
          <w:rFonts w:hint="eastAsia" w:ascii="宋体" w:hAnsi="宋体" w:eastAsia="宋体"/>
          <w:color w:val="auto"/>
          <w:kern w:val="0"/>
          <w:sz w:val="21"/>
          <w:szCs w:val="21"/>
          <w:highlight w:val="none"/>
          <w:lang w:val="en-US" w:eastAsia="zh-CN"/>
        </w:rPr>
        <w:t>性</w:t>
      </w:r>
      <w:r>
        <w:rPr>
          <w:rFonts w:hint="eastAsia" w:ascii="宋体" w:hAnsi="宋体" w:eastAsia="宋体"/>
          <w:color w:val="auto"/>
          <w:kern w:val="0"/>
          <w:sz w:val="21"/>
          <w:szCs w:val="21"/>
          <w:highlight w:val="none"/>
        </w:rPr>
        <w:t>审查的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w:t>
      </w:r>
      <w:r>
        <w:rPr>
          <w:rFonts w:hint="eastAsia" w:ascii="宋体" w:hAnsi="宋体" w:eastAsia="宋体"/>
          <w:color w:val="auto"/>
          <w:kern w:val="0"/>
          <w:sz w:val="21"/>
          <w:szCs w:val="21"/>
          <w:highlight w:val="none"/>
          <w:lang w:val="en-US" w:eastAsia="zh-CN"/>
        </w:rPr>
        <w:t>进行</w:t>
      </w:r>
      <w:r>
        <w:rPr>
          <w:rFonts w:hint="eastAsia" w:ascii="宋体" w:hAnsi="宋体" w:eastAsia="宋体"/>
          <w:color w:val="auto"/>
          <w:kern w:val="0"/>
          <w:sz w:val="21"/>
          <w:szCs w:val="21"/>
          <w:highlight w:val="none"/>
          <w:lang w:eastAsia="zh-CN"/>
        </w:rPr>
        <w:t>符合性审查，</w:t>
      </w:r>
      <w:r>
        <w:rPr>
          <w:rFonts w:hint="eastAsia" w:ascii="宋体" w:hAnsi="宋体" w:eastAsia="宋体"/>
          <w:b/>
          <w:color w:val="auto"/>
          <w:kern w:val="0"/>
          <w:sz w:val="21"/>
          <w:szCs w:val="21"/>
          <w:highlight w:val="none"/>
        </w:rPr>
        <w:t>资格性检查</w:t>
      </w:r>
      <w:r>
        <w:rPr>
          <w:rFonts w:hint="eastAsia" w:ascii="宋体" w:hAnsi="宋体" w:eastAsia="宋体"/>
          <w:b/>
          <w:color w:val="auto"/>
          <w:kern w:val="0"/>
          <w:sz w:val="21"/>
          <w:szCs w:val="21"/>
          <w:highlight w:val="none"/>
          <w:lang w:eastAsia="zh-CN"/>
        </w:rPr>
        <w:t>中发现下列情形之一的，其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lang w:eastAsia="zh-CN"/>
        </w:rPr>
        <w:t>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lang w:eastAsia="zh-CN"/>
        </w:rPr>
        <w:t>处理：</w:t>
      </w:r>
    </w:p>
    <w:p w14:paraId="2C43B43D">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1) 资格瑕疵</w:t>
      </w:r>
    </w:p>
    <w:p w14:paraId="485FEF9C">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rPr>
        <w:t>包括但不限于：①资格证明文件未提供或不符合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kern w:val="0"/>
          <w:sz w:val="21"/>
          <w:szCs w:val="21"/>
          <w:highlight w:val="none"/>
          <w:lang w:eastAsia="zh-CN"/>
        </w:rPr>
        <w:t>；④提供的资质材料模糊不清导致无法辨认的。⑤供应商名称与响应文件公章不一致的。</w:t>
      </w:r>
    </w:p>
    <w:p w14:paraId="7D6F814A">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 xml:space="preserve">2) </w:t>
      </w:r>
      <w:r>
        <w:rPr>
          <w:rFonts w:hint="eastAsia" w:ascii="宋体" w:hAnsi="宋体"/>
          <w:b/>
          <w:color w:val="auto"/>
          <w:kern w:val="0"/>
          <w:sz w:val="21"/>
          <w:szCs w:val="21"/>
          <w:highlight w:val="none"/>
          <w:lang w:eastAsia="zh-CN"/>
        </w:rPr>
        <w:t>响应保证金</w:t>
      </w:r>
      <w:r>
        <w:rPr>
          <w:rFonts w:hint="eastAsia" w:ascii="宋体" w:hAnsi="宋体" w:eastAsia="宋体"/>
          <w:b/>
          <w:color w:val="auto"/>
          <w:kern w:val="0"/>
          <w:sz w:val="21"/>
          <w:szCs w:val="21"/>
          <w:highlight w:val="none"/>
        </w:rPr>
        <w:t>瑕疵</w:t>
      </w:r>
    </w:p>
    <w:p w14:paraId="5B615D46">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未按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；②提交方式、提交时间、提交金额不符合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要求；③</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w:t>
      </w:r>
    </w:p>
    <w:p w14:paraId="7BBE4C0B">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将对</w:t>
      </w:r>
      <w:r>
        <w:rPr>
          <w:rFonts w:hint="eastAsia" w:ascii="宋体" w:hAnsi="宋体" w:eastAsia="宋体"/>
          <w:color w:val="auto"/>
          <w:kern w:val="0"/>
          <w:sz w:val="21"/>
          <w:szCs w:val="21"/>
          <w:highlight w:val="none"/>
          <w:lang w:val="en-US" w:eastAsia="zh-CN"/>
        </w:rPr>
        <w:t>通过资格性审查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进行符合性审查，</w:t>
      </w:r>
      <w:r>
        <w:rPr>
          <w:rFonts w:hint="eastAsia" w:ascii="宋体" w:hAnsi="宋体" w:eastAsia="宋体"/>
          <w:color w:val="auto"/>
          <w:kern w:val="0"/>
          <w:sz w:val="21"/>
          <w:szCs w:val="21"/>
          <w:highlight w:val="none"/>
          <w:lang w:eastAsia="zh-CN"/>
        </w:rPr>
        <w:t>以确定是否对磋商文件的实质性要求作出响应，包括审查响应文件是否完整，有否计算错误，文件签署是否合格等</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符合性审查过程</w:t>
      </w:r>
      <w:r>
        <w:rPr>
          <w:rFonts w:hint="eastAsia" w:ascii="宋体" w:hAnsi="宋体" w:eastAsia="宋体"/>
          <w:color w:val="auto"/>
          <w:kern w:val="0"/>
          <w:sz w:val="21"/>
          <w:szCs w:val="21"/>
          <w:highlight w:val="none"/>
        </w:rPr>
        <w:t>中，</w:t>
      </w:r>
      <w:r>
        <w:rPr>
          <w:rFonts w:hint="eastAsia" w:ascii="宋体" w:hAnsi="宋体" w:eastAsia="宋体"/>
          <w:b/>
          <w:color w:val="auto"/>
          <w:kern w:val="0"/>
          <w:sz w:val="21"/>
          <w:szCs w:val="21"/>
          <w:highlight w:val="none"/>
        </w:rPr>
        <w:t>发现下列情况之一的，其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rPr>
        <w:t>将作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rPr>
        <w:t>处理</w:t>
      </w:r>
      <w:r>
        <w:rPr>
          <w:rFonts w:hint="eastAsia" w:ascii="宋体" w:hAnsi="宋体" w:eastAsia="宋体"/>
          <w:color w:val="auto"/>
          <w:kern w:val="0"/>
          <w:sz w:val="21"/>
          <w:szCs w:val="21"/>
          <w:highlight w:val="none"/>
        </w:rPr>
        <w:t>：</w:t>
      </w:r>
    </w:p>
    <w:p w14:paraId="16483EF3">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b/>
          <w:color w:val="auto"/>
          <w:kern w:val="0"/>
          <w:sz w:val="21"/>
          <w:szCs w:val="21"/>
          <w:highlight w:val="none"/>
        </w:rPr>
        <w:t xml:space="preserve">1) </w:t>
      </w:r>
      <w:r>
        <w:rPr>
          <w:rFonts w:hint="eastAsia" w:ascii="宋体" w:hAnsi="宋体" w:eastAsia="宋体"/>
          <w:b/>
          <w:color w:val="auto"/>
          <w:kern w:val="0"/>
          <w:sz w:val="21"/>
          <w:szCs w:val="21"/>
          <w:highlight w:val="none"/>
          <w:lang w:eastAsia="zh-CN"/>
        </w:rPr>
        <w:t>响应文件</w:t>
      </w:r>
      <w:r>
        <w:rPr>
          <w:rFonts w:hint="eastAsia" w:ascii="宋体" w:hAnsi="宋体" w:eastAsia="宋体"/>
          <w:b/>
          <w:color w:val="auto"/>
          <w:kern w:val="0"/>
          <w:sz w:val="21"/>
          <w:szCs w:val="21"/>
          <w:highlight w:val="none"/>
        </w:rPr>
        <w:t>的有效性、完整性瑕疵</w:t>
      </w:r>
    </w:p>
    <w:p w14:paraId="11454B0B">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的数量、制作不符合要求</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内容与采购内容不符的</w:t>
      </w:r>
      <w:r>
        <w:rPr>
          <w:rFonts w:hint="eastAsia" w:ascii="宋体" w:hAnsi="宋体" w:eastAsia="宋体"/>
          <w:color w:val="auto"/>
          <w:kern w:val="0"/>
          <w:sz w:val="21"/>
          <w:szCs w:val="21"/>
          <w:highlight w:val="none"/>
          <w:lang w:eastAsia="zh-CN"/>
        </w:rPr>
        <w:t>（包括但不限于响应文件</w:t>
      </w:r>
      <w:r>
        <w:rPr>
          <w:rFonts w:hint="eastAsia" w:ascii="宋体" w:hAnsi="宋体" w:eastAsia="宋体"/>
          <w:color w:val="auto"/>
          <w:kern w:val="0"/>
          <w:sz w:val="21"/>
          <w:szCs w:val="21"/>
          <w:highlight w:val="none"/>
        </w:rPr>
        <w:t>项目</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错误，</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项目名称错误导致无法</w:t>
      </w:r>
      <w:r>
        <w:rPr>
          <w:rFonts w:hint="eastAsia" w:ascii="宋体" w:hAnsi="宋体" w:eastAsia="宋体"/>
          <w:color w:val="auto"/>
          <w:kern w:val="0"/>
          <w:sz w:val="21"/>
          <w:szCs w:val="21"/>
          <w:highlight w:val="none"/>
          <w:lang w:val="en-US" w:eastAsia="zh-CN"/>
        </w:rPr>
        <w:t>分辨</w:t>
      </w:r>
      <w:r>
        <w:rPr>
          <w:rFonts w:hint="eastAsia" w:ascii="宋体" w:hAnsi="宋体" w:eastAsia="宋体"/>
          <w:color w:val="auto"/>
          <w:kern w:val="0"/>
          <w:sz w:val="21"/>
          <w:szCs w:val="21"/>
          <w:highlight w:val="none"/>
        </w:rPr>
        <w:t>所投项目为本项目</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lang w:val="en-US" w:eastAsia="zh-CN"/>
        </w:rPr>
        <w:t>响应文件数量少于磋商文件要求的</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rPr>
        <w:t>；②</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要求的；④</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内容有严重缺漏项的；</w:t>
      </w:r>
      <w:r>
        <w:rPr>
          <w:rFonts w:hint="eastAsia" w:ascii="宋体" w:hAnsi="宋体" w:eastAsia="宋体"/>
          <w:color w:val="auto"/>
          <w:kern w:val="0"/>
          <w:sz w:val="21"/>
          <w:szCs w:val="21"/>
          <w:highlight w:val="none"/>
          <w:lang w:eastAsia="zh-CN"/>
        </w:rPr>
        <w:t>⑤响应文件</w:t>
      </w:r>
      <w:r>
        <w:rPr>
          <w:rFonts w:hint="eastAsia" w:ascii="宋体" w:hAnsi="宋体" w:eastAsia="宋体"/>
          <w:color w:val="auto"/>
          <w:kern w:val="0"/>
          <w:sz w:val="21"/>
          <w:szCs w:val="21"/>
          <w:highlight w:val="none"/>
        </w:rPr>
        <w:t>的关键内容字迹模糊、无法辨认的；</w:t>
      </w:r>
      <w:r>
        <w:rPr>
          <w:rFonts w:hint="eastAsia" w:ascii="宋体" w:hAnsi="宋体" w:eastAsia="宋体"/>
          <w:color w:val="auto"/>
          <w:kern w:val="0"/>
          <w:sz w:val="21"/>
          <w:szCs w:val="21"/>
          <w:highlight w:val="none"/>
          <w:lang w:eastAsia="zh-CN"/>
        </w:rPr>
        <w:t>⑥响应文件（报价）有效期不符合文件要求的。</w:t>
      </w:r>
    </w:p>
    <w:p w14:paraId="0C768400">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2) 技术响应瑕疵</w:t>
      </w:r>
    </w:p>
    <w:p w14:paraId="46F7CDC3">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val="0"/>
          <w:bCs/>
          <w:color w:val="auto"/>
          <w:kern w:val="0"/>
          <w:sz w:val="21"/>
          <w:szCs w:val="21"/>
          <w:highlight w:val="none"/>
        </w:rPr>
        <w:t>包括但不限于：①响应文件不满足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中加注星号（★）的主要参数要求或加注星号的主要参数无技术资料支持的；②一般参数超出允许偏离的最大范围或最高项数的；③响应文件技术响应与事实不符或虚假应标的；④《</w:t>
      </w:r>
      <w:r>
        <w:rPr>
          <w:rFonts w:hint="eastAsia" w:ascii="宋体" w:hAnsi="宋体" w:eastAsia="宋体"/>
          <w:b w:val="0"/>
          <w:bCs/>
          <w:color w:val="auto"/>
          <w:kern w:val="0"/>
          <w:sz w:val="21"/>
          <w:szCs w:val="21"/>
          <w:highlight w:val="none"/>
          <w:lang w:eastAsia="zh-CN"/>
        </w:rPr>
        <w:t>技术条款</w:t>
      </w:r>
      <w:r>
        <w:rPr>
          <w:rFonts w:hint="eastAsia" w:ascii="宋体" w:hAnsi="宋体" w:eastAsia="宋体"/>
          <w:b w:val="0"/>
          <w:bCs/>
          <w:color w:val="auto"/>
          <w:kern w:val="0"/>
          <w:sz w:val="21"/>
          <w:szCs w:val="21"/>
          <w:highlight w:val="none"/>
        </w:rPr>
        <w:t>偏离表》未提供的；⑤将一个包中的内容拆开响应的；⑥供应商对同一货物或服务报价时，方案不唯一；⑦明显不符合技术规格、技术标准要求的；⑧其他未实质性响应</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技术要求的。</w:t>
      </w:r>
      <w:r>
        <w:rPr>
          <w:rFonts w:hint="eastAsia" w:ascii="宋体" w:hAnsi="宋体" w:eastAsia="宋体"/>
          <w:b/>
          <w:color w:val="auto"/>
          <w:kern w:val="0"/>
          <w:sz w:val="21"/>
          <w:szCs w:val="21"/>
          <w:highlight w:val="none"/>
        </w:rPr>
        <w:t>3) 商务响应瑕疵</w:t>
      </w:r>
    </w:p>
    <w:p w14:paraId="58D1AC07">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加注星号（★）的商务要求负偏离的；②完成期（包括但不限于：工期，服务期，交货期等）未满足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要求的；③</w:t>
      </w:r>
      <w:r>
        <w:rPr>
          <w:rFonts w:hint="eastAsia" w:ascii="宋体" w:hAnsi="宋体" w:eastAsia="宋体"/>
          <w:b w:val="0"/>
          <w:bCs/>
          <w:color w:val="auto"/>
          <w:kern w:val="0"/>
          <w:sz w:val="21"/>
          <w:szCs w:val="21"/>
          <w:highlight w:val="none"/>
          <w:lang w:eastAsia="zh-CN"/>
        </w:rPr>
        <w:t>响应</w:t>
      </w:r>
      <w:r>
        <w:rPr>
          <w:rFonts w:hint="eastAsia" w:ascii="宋体" w:hAnsi="宋体" w:eastAsia="宋体"/>
          <w:b w:val="0"/>
          <w:bCs/>
          <w:color w:val="auto"/>
          <w:kern w:val="0"/>
          <w:sz w:val="21"/>
          <w:szCs w:val="21"/>
          <w:highlight w:val="none"/>
        </w:rPr>
        <w:t>文件载明的货物包装方式、检验标准和方法不符合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w:t>
      </w:r>
      <w:r>
        <w:rPr>
          <w:rFonts w:hint="eastAsia" w:ascii="宋体" w:hAnsi="宋体" w:eastAsia="宋体"/>
          <w:b w:val="0"/>
          <w:bCs/>
          <w:color w:val="auto"/>
          <w:kern w:val="0"/>
          <w:sz w:val="21"/>
          <w:szCs w:val="21"/>
          <w:highlight w:val="none"/>
          <w:lang w:eastAsia="zh-CN"/>
        </w:rPr>
        <w:t>，采购人无法接受的</w:t>
      </w:r>
      <w:r>
        <w:rPr>
          <w:rFonts w:hint="eastAsia" w:ascii="宋体" w:hAnsi="宋体" w:eastAsia="宋体"/>
          <w:b w:val="0"/>
          <w:bCs/>
          <w:color w:val="auto"/>
          <w:kern w:val="0"/>
          <w:sz w:val="21"/>
          <w:szCs w:val="21"/>
          <w:highlight w:val="none"/>
        </w:rPr>
        <w:t>；④《商务条款偏离表》未提供的；</w:t>
      </w:r>
      <w:r>
        <w:rPr>
          <w:rFonts w:hint="eastAsia" w:ascii="宋体" w:hAnsi="宋体" w:eastAsia="宋体"/>
          <w:b w:val="0"/>
          <w:bCs/>
          <w:color w:val="auto"/>
          <w:kern w:val="0"/>
          <w:sz w:val="21"/>
          <w:szCs w:val="21"/>
          <w:highlight w:val="none"/>
          <w:lang w:eastAsia="zh-CN"/>
        </w:rPr>
        <w:t>⑤</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附有采购人不能接受的条件的；</w:t>
      </w:r>
      <w:r>
        <w:rPr>
          <w:rFonts w:hint="eastAsia" w:ascii="宋体" w:hAnsi="宋体" w:eastAsia="宋体"/>
          <w:b w:val="0"/>
          <w:bCs/>
          <w:color w:val="auto"/>
          <w:kern w:val="0"/>
          <w:sz w:val="21"/>
          <w:szCs w:val="21"/>
          <w:highlight w:val="none"/>
          <w:lang w:eastAsia="zh-CN"/>
        </w:rPr>
        <w:t>⑥</w:t>
      </w:r>
      <w:r>
        <w:rPr>
          <w:rFonts w:hint="eastAsia" w:ascii="宋体" w:hAnsi="宋体" w:eastAsia="宋体"/>
          <w:b w:val="0"/>
          <w:bCs/>
          <w:color w:val="auto"/>
          <w:kern w:val="0"/>
          <w:sz w:val="21"/>
          <w:szCs w:val="21"/>
          <w:highlight w:val="none"/>
        </w:rPr>
        <w:t>其他未实质性响应</w:t>
      </w:r>
      <w:r>
        <w:rPr>
          <w:rFonts w:hint="eastAsia" w:ascii="宋体" w:hAnsi="宋体" w:eastAsia="宋体"/>
          <w:b w:val="0"/>
          <w:bCs/>
          <w:color w:val="auto"/>
          <w:kern w:val="0"/>
          <w:sz w:val="21"/>
          <w:szCs w:val="21"/>
          <w:highlight w:val="none"/>
          <w:lang w:val="en-US" w:eastAsia="zh-CN"/>
        </w:rPr>
        <w:t>磋商</w:t>
      </w:r>
      <w:r>
        <w:rPr>
          <w:rFonts w:hint="eastAsia" w:ascii="宋体" w:hAnsi="宋体" w:eastAsia="宋体"/>
          <w:b w:val="0"/>
          <w:bCs/>
          <w:color w:val="auto"/>
          <w:kern w:val="0"/>
          <w:sz w:val="21"/>
          <w:szCs w:val="21"/>
          <w:highlight w:val="none"/>
        </w:rPr>
        <w:t>文件商务要求的。</w:t>
      </w:r>
    </w:p>
    <w:p w14:paraId="71E0463C">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4）报价瑕疵</w:t>
      </w:r>
    </w:p>
    <w:p w14:paraId="501F5E39">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包括但不限于：①一次报价或最终报价超过本</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明确的项目预算或文件明确的最高限价；②未按</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要求进行报价的；③报价内容或报价格式不符合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要求的；④报价有严重缺漏项的。</w:t>
      </w:r>
    </w:p>
    <w:p w14:paraId="3EE9050C">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5）违规行为</w:t>
      </w:r>
    </w:p>
    <w:p w14:paraId="0513F001">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lang w:eastAsia="zh-CN"/>
        </w:rPr>
      </w:pPr>
      <w:r>
        <w:rPr>
          <w:rFonts w:hint="eastAsia" w:ascii="宋体" w:hAnsi="宋体" w:eastAsia="宋体"/>
          <w:b w:val="0"/>
          <w:bCs/>
          <w:color w:val="auto"/>
          <w:kern w:val="0"/>
          <w:sz w:val="21"/>
          <w:szCs w:val="21"/>
          <w:highlight w:val="none"/>
          <w:lang w:eastAsia="zh-CN"/>
        </w:rPr>
        <w:t>包括但不限于：①以他人的名义</w:t>
      </w:r>
      <w:r>
        <w:rPr>
          <w:rFonts w:hint="eastAsia" w:ascii="宋体" w:hAnsi="宋体" w:eastAsia="宋体"/>
          <w:b w:val="0"/>
          <w:bCs/>
          <w:color w:val="auto"/>
          <w:kern w:val="0"/>
          <w:sz w:val="21"/>
          <w:szCs w:val="21"/>
          <w:highlight w:val="none"/>
          <w:lang w:val="en-US" w:eastAsia="zh-CN"/>
        </w:rPr>
        <w:t>报价</w:t>
      </w:r>
      <w:r>
        <w:rPr>
          <w:rFonts w:hint="eastAsia" w:ascii="宋体" w:hAnsi="宋体" w:eastAsia="宋体"/>
          <w:b w:val="0"/>
          <w:bCs/>
          <w:color w:val="auto"/>
          <w:kern w:val="0"/>
          <w:sz w:val="21"/>
          <w:szCs w:val="21"/>
          <w:highlight w:val="none"/>
          <w:lang w:eastAsia="zh-CN"/>
        </w:rPr>
        <w:t>、串通响应、以行贿手段谋取成交或者以其他弄虚作假方式</w:t>
      </w:r>
      <w:r>
        <w:rPr>
          <w:rFonts w:hint="eastAsia" w:ascii="宋体" w:hAnsi="宋体" w:eastAsia="宋体"/>
          <w:b w:val="0"/>
          <w:bCs/>
          <w:color w:val="auto"/>
          <w:kern w:val="0"/>
          <w:sz w:val="21"/>
          <w:szCs w:val="21"/>
          <w:highlight w:val="none"/>
          <w:lang w:val="en-US" w:eastAsia="zh-CN"/>
        </w:rPr>
        <w:t>响应磋商</w:t>
      </w:r>
      <w:r>
        <w:rPr>
          <w:rFonts w:hint="eastAsia" w:ascii="宋体" w:hAnsi="宋体" w:eastAsia="宋体"/>
          <w:b w:val="0"/>
          <w:bCs/>
          <w:color w:val="auto"/>
          <w:kern w:val="0"/>
          <w:sz w:val="21"/>
          <w:szCs w:val="21"/>
          <w:highlight w:val="none"/>
          <w:lang w:eastAsia="zh-CN"/>
        </w:rPr>
        <w:t>的；②扰乱</w:t>
      </w:r>
      <w:r>
        <w:rPr>
          <w:rFonts w:hint="eastAsia" w:ascii="宋体" w:hAnsi="宋体" w:eastAsia="宋体"/>
          <w:b w:val="0"/>
          <w:bCs/>
          <w:color w:val="auto"/>
          <w:kern w:val="0"/>
          <w:sz w:val="21"/>
          <w:szCs w:val="21"/>
          <w:highlight w:val="none"/>
          <w:lang w:val="en-US" w:eastAsia="zh-CN"/>
        </w:rPr>
        <w:t>磋商评审</w:t>
      </w:r>
      <w:r>
        <w:rPr>
          <w:rFonts w:hint="eastAsia" w:ascii="宋体" w:hAnsi="宋体" w:eastAsia="宋体"/>
          <w:b w:val="0"/>
          <w:bCs/>
          <w:color w:val="auto"/>
          <w:kern w:val="0"/>
          <w:sz w:val="21"/>
          <w:szCs w:val="21"/>
          <w:highlight w:val="none"/>
          <w:lang w:eastAsia="zh-CN"/>
        </w:rPr>
        <w:t>秩序，干扰采购工作正常进行的。③存在经磋商小组认定的其他违规违法行为。</w:t>
      </w:r>
    </w:p>
    <w:p w14:paraId="59E5C32D">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6)法律法规及</w:t>
      </w:r>
      <w:r>
        <w:rPr>
          <w:rFonts w:hint="eastAsia" w:ascii="宋体" w:hAnsi="宋体" w:eastAsia="宋体"/>
          <w:b/>
          <w:color w:val="auto"/>
          <w:kern w:val="0"/>
          <w:sz w:val="21"/>
          <w:szCs w:val="21"/>
          <w:highlight w:val="none"/>
          <w:lang w:eastAsia="zh-CN"/>
        </w:rPr>
        <w:t>磋商文件</w:t>
      </w:r>
      <w:r>
        <w:rPr>
          <w:rFonts w:hint="eastAsia" w:ascii="宋体" w:hAnsi="宋体" w:eastAsia="宋体"/>
          <w:b/>
          <w:color w:val="auto"/>
          <w:kern w:val="0"/>
          <w:sz w:val="21"/>
          <w:szCs w:val="21"/>
          <w:highlight w:val="none"/>
        </w:rPr>
        <w:t>中规定的其它情形。</w:t>
      </w:r>
    </w:p>
    <w:p w14:paraId="6B715A6A">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根据项目情况，</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有权决定</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中“可能导致废标”或“可能导致其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被拒绝”等具体条款是否实施“废标”或“</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被拒绝”，但对同一条款的裁决应适用于每个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14:paraId="2E2BC7F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14:paraId="6290D5E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在详细</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之前，</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要审查每份</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是否实质上响应了</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的要求。实质上</w:t>
      </w:r>
      <w:r>
        <w:rPr>
          <w:rFonts w:hint="eastAsia" w:ascii="宋体" w:hAnsi="宋体" w:eastAsia="宋体"/>
          <w:color w:val="auto"/>
          <w:kern w:val="0"/>
          <w:sz w:val="21"/>
          <w:szCs w:val="21"/>
          <w:highlight w:val="none"/>
          <w:lang w:eastAsia="zh-CN"/>
        </w:rPr>
        <w:t>的</w:t>
      </w:r>
      <w:r>
        <w:rPr>
          <w:rFonts w:hint="eastAsia" w:ascii="宋体" w:hAnsi="宋体" w:eastAsia="宋体"/>
          <w:color w:val="auto"/>
          <w:kern w:val="0"/>
          <w:sz w:val="21"/>
          <w:szCs w:val="21"/>
          <w:highlight w:val="none"/>
        </w:rPr>
        <w:t>响应应该是与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要求的全部主要条款（加“★”号）、条件和规格相符，没有重大偏离的</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。对关键条文的偏离、保留或反对，例如关于</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、合同条款的重大偏离将被认为是实质上的偏离。</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决定</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的响应性只根据</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本身的内容，而不寻求外部的证据。</w:t>
      </w:r>
    </w:p>
    <w:p w14:paraId="3CFFB72A">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实质上没有响应磋商文件要求的响应文件将被拒绝。供应商不得通过修正或撤销不合要求的偏离或保留从而使其响应成为实质上的响应。</w:t>
      </w:r>
    </w:p>
    <w:p w14:paraId="2C1BBC70">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宋体" w:hAnsi="宋体" w:eastAsia="宋体"/>
          <w:color w:val="auto"/>
          <w:kern w:val="0"/>
          <w:sz w:val="21"/>
          <w:szCs w:val="21"/>
          <w:highlight w:val="none"/>
          <w:lang w:eastAsia="zh-CN"/>
        </w:rPr>
      </w:pPr>
    </w:p>
    <w:p w14:paraId="5EDC3DB8">
      <w:pPr>
        <w:pStyle w:val="4"/>
        <w:bidi w:val="0"/>
        <w:rPr>
          <w:rFonts w:hint="eastAsia" w:eastAsia="宋体"/>
          <w:color w:val="auto"/>
          <w:highlight w:val="none"/>
          <w:lang w:val="en-US" w:eastAsia="zh-CN"/>
        </w:rPr>
      </w:pPr>
      <w:bookmarkStart w:id="193" w:name="_Toc9736"/>
      <w:bookmarkStart w:id="194" w:name="_Toc16157"/>
      <w:bookmarkStart w:id="195" w:name="_Toc4041"/>
      <w:r>
        <w:rPr>
          <w:rFonts w:hint="eastAsia" w:eastAsia="宋体"/>
          <w:color w:val="auto"/>
          <w:highlight w:val="none"/>
          <w:lang w:val="en-US" w:eastAsia="zh-CN"/>
        </w:rPr>
        <w:t>26.商务、技术、价格评审</w:t>
      </w:r>
      <w:bookmarkEnd w:id="193"/>
      <w:bookmarkEnd w:id="194"/>
      <w:bookmarkEnd w:id="195"/>
    </w:p>
    <w:p w14:paraId="3DAABBC0">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7B36235">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 xml:space="preserve"> 磋商小组所有成员应当集中与单一供应商分别进行磋商，并给予所有参加磋商的供应商平等的磋商机会。其磋商顺序以供应商签到顺序为准</w:t>
      </w:r>
      <w:r>
        <w:rPr>
          <w:rFonts w:hint="eastAsia" w:ascii="宋体" w:hAnsi="宋体" w:eastAsia="宋体"/>
          <w:color w:val="auto"/>
          <w:kern w:val="0"/>
          <w:sz w:val="21"/>
          <w:szCs w:val="21"/>
          <w:highlight w:val="none"/>
        </w:rPr>
        <w:t xml:space="preserve">。 </w:t>
      </w:r>
    </w:p>
    <w:p w14:paraId="5AC32314">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磋商小组将拒绝与出现以下情况的供应商授权代表进行磋商：</w:t>
      </w:r>
    </w:p>
    <w:p w14:paraId="0442D0F8">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（一）供应商授权代表无有效授权的；</w:t>
      </w:r>
    </w:p>
    <w:p w14:paraId="575B5D4D">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（二）供应商响应文件中的授权代表与现场进行磋商的授权代表不一致的；</w:t>
      </w:r>
    </w:p>
    <w:p w14:paraId="4AE23008">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（三）法人参加磋商但无法定代表人证明书的；</w:t>
      </w:r>
    </w:p>
    <w:p w14:paraId="4A37DCAC">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（四）授权代表现场不能出具可证明其身份信息的证件或文件的；</w:t>
      </w:r>
    </w:p>
    <w:p w14:paraId="771AEE8D">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（五）供应商一次报价超出</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所规定的预算或最高限价的；</w:t>
      </w:r>
    </w:p>
    <w:p w14:paraId="752FECE2">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（六）扰乱磋商秩序，干扰采购工作正常进行的；</w:t>
      </w:r>
    </w:p>
    <w:p w14:paraId="335894A0">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（七）直接或间接影响其他供应商进行最终报价的；</w:t>
      </w:r>
    </w:p>
    <w:p w14:paraId="4F46565B">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（八）磋商小组认定为违规的情况；</w:t>
      </w:r>
    </w:p>
    <w:p w14:paraId="10298340">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（九）</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规定的其他情况。</w:t>
      </w:r>
    </w:p>
    <w:p w14:paraId="0751BF52">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磋商小组与供应商分别进行磋商（除特殊情况外，磋商小组仅对各供应商进行一轮磋商）。在磋商过程中，磋商小组应当严格遵循保密原则，未经供应商同意不得向任何人透露当事人技术、价格和其他重要信息。</w:t>
      </w:r>
    </w:p>
    <w:p w14:paraId="2AAD51E1">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14:paraId="57104694">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14:paraId="464E3276">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最终报价</w:t>
      </w:r>
    </w:p>
    <w:p w14:paraId="5B77C1C5">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leftChars="0" w:hanging="630" w:hangingChars="30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14:paraId="50EB6C8A">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26.6.2.通过初审，但未在规定时间内进行最终报价的供应商，其报价文件上的报价视为其最终报价。</w:t>
      </w:r>
    </w:p>
    <w:p w14:paraId="16F5376D">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26.6.3.已提交响应文件的供应商，在提交最后报价之前，可以根据磋商情况退出磋商。响应文件不予退还，</w:t>
      </w:r>
      <w:r>
        <w:rPr>
          <w:rFonts w:hint="eastAsia" w:ascii="宋体" w:hAnsi="宋体" w:cstheme="minorBidi"/>
          <w:color w:val="auto"/>
          <w:sz w:val="21"/>
          <w:szCs w:val="21"/>
          <w:highlight w:val="none"/>
          <w:lang w:val="en-US" w:eastAsia="zh-CN" w:bidi="ar-SA"/>
        </w:rPr>
        <w:t>响应保证金</w:t>
      </w:r>
      <w:r>
        <w:rPr>
          <w:rFonts w:hint="eastAsia" w:ascii="宋体" w:hAnsi="宋体" w:eastAsia="宋体" w:cstheme="minorBidi"/>
          <w:color w:val="auto"/>
          <w:sz w:val="21"/>
          <w:szCs w:val="21"/>
          <w:highlight w:val="none"/>
          <w:lang w:val="en-US" w:eastAsia="zh-CN" w:bidi="ar-SA"/>
        </w:rPr>
        <w:t>按</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规定进行退还。退出磋商的供应商不进入综合评分环节。</w:t>
      </w:r>
    </w:p>
    <w:p w14:paraId="2D04B300">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综合评分法</w:t>
      </w:r>
    </w:p>
    <w:p w14:paraId="7967E8F8">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26.7.1经磋商确定最终采购需求和提交最后报价的供应商后，由磋商小组采用综合评分法对提交最后报价的供应商的响应文件和最后报价进行综合评分。</w:t>
      </w:r>
    </w:p>
    <w:p w14:paraId="7164F04C">
      <w:pPr>
        <w:keepNext w:val="0"/>
        <w:keepLines w:val="0"/>
        <w:pageBreakBefore w:val="0"/>
        <w:kinsoku/>
        <w:wordWrap/>
        <w:overflowPunct/>
        <w:topLinePunct w:val="0"/>
        <w:autoSpaceDE/>
        <w:autoSpaceDN/>
        <w:bidi w:val="0"/>
        <w:adjustRightInd w:val="0"/>
        <w:snapToGrid w:val="0"/>
        <w:spacing w:before="0" w:after="0" w:line="400" w:lineRule="exact"/>
        <w:ind w:left="0" w:leftChars="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26.7.2.价格评审：</w:t>
      </w:r>
    </w:p>
    <w:p w14:paraId="7DA1A4BD">
      <w:pPr>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879" w:firstLineChars="419"/>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（一）以各供应商最终报价进行评审；</w:t>
      </w:r>
    </w:p>
    <w:p w14:paraId="08964457">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40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14:paraId="53D2EC05">
      <w:pPr>
        <w:keepNext w:val="0"/>
        <w:keepLines w:val="0"/>
        <w:pageBreakBefore w:val="0"/>
        <w:widowControl/>
        <w:numPr>
          <w:ilvl w:val="0"/>
          <w:numId w:val="9"/>
        </w:numPr>
        <w:kinsoku/>
        <w:wordWrap/>
        <w:overflowPunct/>
        <w:topLinePunct w:val="0"/>
        <w:autoSpaceDE/>
        <w:autoSpaceDN/>
        <w:bidi w:val="0"/>
        <w:adjustRightInd w:val="0"/>
        <w:snapToGrid w:val="0"/>
        <w:spacing w:before="0" w:after="0" w:line="400" w:lineRule="exact"/>
        <w:ind w:left="120" w:leftChars="0" w:firstLine="758" w:firstLineChars="361"/>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对报价服务报价漏项的，作非实质性响应处理。</w:t>
      </w:r>
    </w:p>
    <w:p w14:paraId="213FA9EF">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stheme="minorBidi"/>
          <w:color w:val="auto"/>
          <w:kern w:val="0"/>
          <w:sz w:val="21"/>
          <w:szCs w:val="21"/>
          <w:highlight w:val="none"/>
          <w:lang w:val="en-US" w:eastAsia="zh-CN" w:bidi="ar-SA"/>
        </w:rPr>
        <w:t xml:space="preserve">26.7.3. </w:t>
      </w:r>
      <w:r>
        <w:rPr>
          <w:rFonts w:hint="eastAsia" w:ascii="宋体" w:hAnsi="宋体" w:eastAsia="宋体"/>
          <w:color w:val="auto"/>
          <w:kern w:val="0"/>
          <w:sz w:val="21"/>
          <w:szCs w:val="21"/>
          <w:highlight w:val="none"/>
          <w:lang w:val="en-US" w:eastAsia="zh-CN"/>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要求的响应情况进行评议和比较，评出其技术评分和商务评分。根据</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规定评出得分，将价格得分、商务得分、技术得分相加得出最终评审得分（最终评审得分分值按四舍五入原则精确到小数点后两位）。</w:t>
      </w:r>
    </w:p>
    <w:p w14:paraId="0E36CDE3">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14:paraId="275D877C">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14:paraId="565345D2">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0" w:hanging="840" w:hangingChars="4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26.7.6. 采用综合评分法的，评审结果按评审后得分由高到低顺序排列。得分相同的，按最终报价由低到高顺序排列。</w:t>
      </w:r>
      <w:r>
        <w:rPr>
          <w:rFonts w:hint="eastAsia" w:ascii="宋体" w:hAnsi="宋体" w:eastAsia="宋体" w:cs="宋体"/>
          <w:color w:val="auto"/>
          <w:sz w:val="21"/>
          <w:szCs w:val="21"/>
          <w:highlight w:val="none"/>
          <w:lang w:val="zh-CN" w:eastAsia="zh-CN" w:bidi="zh-CN"/>
        </w:rPr>
        <w:t>评审得分及报价均相同时，以随机抽取方式决定。</w:t>
      </w:r>
      <w:r>
        <w:rPr>
          <w:rFonts w:hint="eastAsia" w:ascii="宋体" w:hAnsi="宋体" w:eastAsia="宋体" w:cstheme="minorBidi"/>
          <w:color w:val="auto"/>
          <w:sz w:val="21"/>
          <w:szCs w:val="21"/>
          <w:highlight w:val="none"/>
          <w:lang w:val="en-US" w:eastAsia="zh-CN" w:bidi="ar-SA"/>
        </w:rPr>
        <w:t>响应文件满足</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全部实质性要求，且按照评审因素的量化指标评审得分最高的供应商为排名第一的成交候选人。</w:t>
      </w:r>
    </w:p>
    <w:p w14:paraId="2498533F">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Tahoma" w:hAnsi="Tahoma" w:eastAsia="微软雅黑"/>
          <w:color w:val="auto"/>
          <w:kern w:val="0"/>
          <w:sz w:val="22"/>
          <w:szCs w:val="22"/>
          <w:highlight w:val="none"/>
          <w:lang w:val="en-US" w:eastAsia="zh-CN"/>
        </w:rPr>
      </w:pPr>
    </w:p>
    <w:p w14:paraId="6F211ECA">
      <w:pPr>
        <w:pStyle w:val="4"/>
        <w:bidi w:val="0"/>
        <w:rPr>
          <w:rFonts w:hint="eastAsia" w:eastAsia="宋体"/>
          <w:color w:val="auto"/>
          <w:highlight w:val="none"/>
          <w:lang w:val="en-US" w:eastAsia="zh-CN"/>
        </w:rPr>
      </w:pPr>
      <w:bookmarkStart w:id="196" w:name="_Toc316375620"/>
      <w:bookmarkStart w:id="197" w:name="_Toc382049120"/>
      <w:bookmarkStart w:id="198" w:name="_Toc30865"/>
      <w:bookmarkStart w:id="199" w:name="_Toc25030"/>
      <w:bookmarkStart w:id="200" w:name="_Toc20328"/>
      <w:bookmarkStart w:id="201" w:name="_Toc30573"/>
      <w:r>
        <w:rPr>
          <w:rFonts w:hint="eastAsia" w:eastAsia="宋体"/>
          <w:color w:val="auto"/>
          <w:highlight w:val="none"/>
          <w:lang w:val="en-US" w:eastAsia="zh-CN"/>
        </w:rPr>
        <w:t>27.纪律和保密</w:t>
      </w:r>
      <w:bookmarkEnd w:id="196"/>
      <w:r>
        <w:rPr>
          <w:rFonts w:hint="eastAsia" w:eastAsia="宋体"/>
          <w:color w:val="auto"/>
          <w:highlight w:val="none"/>
          <w:lang w:val="en-US" w:eastAsia="zh-CN"/>
        </w:rPr>
        <w:t>事项</w:t>
      </w:r>
      <w:bookmarkEnd w:id="197"/>
      <w:bookmarkEnd w:id="198"/>
      <w:bookmarkEnd w:id="199"/>
      <w:bookmarkEnd w:id="200"/>
      <w:bookmarkEnd w:id="201"/>
    </w:p>
    <w:p w14:paraId="27B13CC8">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6C5D1CF">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采购全过程</w:t>
      </w:r>
      <w:r>
        <w:rPr>
          <w:rFonts w:hint="eastAsia" w:ascii="宋体" w:hAnsi="宋体" w:eastAsia="宋体"/>
          <w:color w:val="auto"/>
          <w:kern w:val="0"/>
          <w:sz w:val="21"/>
          <w:szCs w:val="21"/>
          <w:highlight w:val="none"/>
        </w:rPr>
        <w:t>期间，在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的审查、澄清、比较和评价阶段，</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试图对</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和采购代理机构施加任何影响或对采购人的比较及授予合同的决定产生影响，都可能导致其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被拒绝。</w:t>
      </w:r>
    </w:p>
    <w:p w14:paraId="7E6231F6">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不得串通作弊，以不正当的手段妨碍、排挤其他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，扰乱市场，破坏公平竞争原则。否则将按相关法律规定严肃处理。</w:t>
      </w:r>
    </w:p>
    <w:p w14:paraId="0626AC99">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获得本</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，应对文件进行保密，不得用作本次</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以外的任何用途。</w:t>
      </w:r>
      <w:r>
        <w:rPr>
          <w:rFonts w:hint="eastAsia" w:ascii="宋体" w:hAnsi="宋体" w:eastAsia="宋体"/>
          <w:color w:val="auto"/>
          <w:kern w:val="0"/>
          <w:sz w:val="21"/>
          <w:szCs w:val="21"/>
          <w:highlight w:val="none"/>
          <w:lang w:eastAsia="zh-CN"/>
        </w:rPr>
        <w:t>签到</w:t>
      </w:r>
      <w:r>
        <w:rPr>
          <w:rFonts w:hint="eastAsia" w:ascii="宋体" w:hAnsi="宋体" w:eastAsia="宋体"/>
          <w:color w:val="auto"/>
          <w:kern w:val="0"/>
          <w:sz w:val="21"/>
          <w:szCs w:val="21"/>
          <w:highlight w:val="none"/>
        </w:rPr>
        <w:t>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应归还</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中要求保密的文件和资料。</w:t>
      </w:r>
    </w:p>
    <w:p w14:paraId="2BA8B1B7">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1E5630C7">
      <w:pPr>
        <w:pStyle w:val="4"/>
        <w:bidi w:val="0"/>
        <w:rPr>
          <w:rFonts w:hint="default" w:eastAsia="宋体"/>
          <w:color w:val="auto"/>
          <w:highlight w:val="none"/>
          <w:lang w:val="en-US" w:eastAsia="zh-CN"/>
        </w:rPr>
      </w:pPr>
      <w:bookmarkStart w:id="202" w:name="_Toc508284011"/>
      <w:bookmarkStart w:id="203" w:name="_Toc21265"/>
      <w:bookmarkStart w:id="204" w:name="_Toc21560"/>
      <w:bookmarkStart w:id="205" w:name="_Toc27383"/>
      <w:r>
        <w:rPr>
          <w:rFonts w:hint="eastAsia" w:eastAsia="宋体"/>
          <w:color w:val="auto"/>
          <w:highlight w:val="none"/>
          <w:lang w:val="en-US" w:eastAsia="zh-CN"/>
        </w:rPr>
        <w:t>28.</w:t>
      </w:r>
      <w:bookmarkEnd w:id="202"/>
      <w:r>
        <w:rPr>
          <w:rFonts w:hint="eastAsia" w:eastAsia="宋体"/>
          <w:color w:val="auto"/>
          <w:highlight w:val="none"/>
          <w:lang w:val="en-US" w:eastAsia="zh-CN"/>
        </w:rPr>
        <w:t>确定成交</w:t>
      </w:r>
      <w:bookmarkEnd w:id="203"/>
      <w:bookmarkEnd w:id="204"/>
      <w:bookmarkEnd w:id="205"/>
    </w:p>
    <w:p w14:paraId="6350B125">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5AEA6D2">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磋商小组完成评审工作后，出具评审报告，推荐3名以上成交候选供应商。符合法律法规允许的情况的，可以推荐2家成交候选供应商。</w:t>
      </w:r>
    </w:p>
    <w:p w14:paraId="72D3274C">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采购人从成交候选供应商名单中按照综合得分排序确定1名成交供应商</w:t>
      </w:r>
      <w:r>
        <w:rPr>
          <w:rFonts w:ascii="宋体" w:hAnsi="宋体" w:eastAsia="宋体"/>
          <w:color w:val="auto"/>
          <w:kern w:val="0"/>
          <w:sz w:val="21"/>
          <w:szCs w:val="21"/>
          <w:highlight w:val="none"/>
        </w:rPr>
        <w:t>。</w:t>
      </w:r>
    </w:p>
    <w:p w14:paraId="0F165AAF">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5397E655">
      <w:pPr>
        <w:pStyle w:val="4"/>
        <w:bidi w:val="0"/>
        <w:rPr>
          <w:rFonts w:hint="eastAsia" w:eastAsia="宋体"/>
          <w:color w:val="auto"/>
          <w:highlight w:val="none"/>
          <w:lang w:val="en-US" w:eastAsia="zh-CN"/>
        </w:rPr>
      </w:pPr>
      <w:bookmarkStart w:id="206" w:name="_Toc24851"/>
      <w:bookmarkStart w:id="207" w:name="_Toc508284013"/>
      <w:bookmarkStart w:id="208" w:name="_Toc2468"/>
      <w:bookmarkStart w:id="209" w:name="_Toc6459"/>
      <w:r>
        <w:rPr>
          <w:rFonts w:hint="eastAsia" w:eastAsia="宋体"/>
          <w:color w:val="auto"/>
          <w:highlight w:val="none"/>
          <w:lang w:val="en-US" w:eastAsia="zh-CN"/>
        </w:rPr>
        <w:t>29.发布采购结果</w:t>
      </w:r>
      <w:bookmarkEnd w:id="206"/>
      <w:bookmarkEnd w:id="207"/>
      <w:bookmarkEnd w:id="208"/>
      <w:bookmarkEnd w:id="209"/>
    </w:p>
    <w:p w14:paraId="4FB509A2">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3787C2A7">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提出</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书面报告和推荐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意见报采购人确认后，采购代理机构将在指定的信息发布媒体上发布公告。</w:t>
      </w:r>
    </w:p>
    <w:p w14:paraId="2029196D">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公告期限为1个工作日。</w:t>
      </w:r>
    </w:p>
    <w:p w14:paraId="17494F21">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结果公示发布后，成交单位应及时领取成交通知书。</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通知书》是合同的一个组成部分，《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通知书》对采购人和</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均具有同等法律效力。</w:t>
      </w:r>
    </w:p>
    <w:p w14:paraId="590F28CA">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无正当理由不得放弃</w:t>
      </w:r>
      <w:r>
        <w:rPr>
          <w:rFonts w:hint="eastAsia" w:ascii="宋体" w:hAnsi="宋体" w:eastAsia="宋体"/>
          <w:color w:val="auto"/>
          <w:kern w:val="0"/>
          <w:sz w:val="21"/>
          <w:szCs w:val="21"/>
          <w:highlight w:val="none"/>
          <w:lang w:eastAsia="zh-CN"/>
        </w:rPr>
        <w:t>成交，因成交供应商放弃成交而对采购人造成的损失由放弃成交的成交供应商承担。</w:t>
      </w:r>
    </w:p>
    <w:p w14:paraId="79C65736">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为残疾人福利性单位的，采购人或者其委托的采购代理机构应当随</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、成交结果同时公告其《残疾人福利性单位声明函》，接受社会监督。</w:t>
      </w:r>
    </w:p>
    <w:p w14:paraId="38CD35ED">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原件核查</w:t>
      </w:r>
    </w:p>
    <w:p w14:paraId="66FEA135">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或采购人有权对</w:t>
      </w:r>
      <w:r>
        <w:rPr>
          <w:rFonts w:hint="eastAsia" w:ascii="宋体" w:hAnsi="宋体" w:eastAsia="宋体"/>
          <w:b w:val="0"/>
          <w:bCs w:val="0"/>
          <w:color w:val="auto"/>
          <w:kern w:val="0"/>
          <w:sz w:val="21"/>
          <w:szCs w:val="21"/>
          <w:highlight w:val="none"/>
          <w:lang w:eastAsia="zh-CN"/>
        </w:rPr>
        <w:t>成交单位</w:t>
      </w:r>
      <w:r>
        <w:rPr>
          <w:rFonts w:hint="eastAsia" w:ascii="宋体" w:hAnsi="宋体" w:eastAsia="宋体"/>
          <w:b w:val="0"/>
          <w:bCs w:val="0"/>
          <w:color w:val="auto"/>
          <w:kern w:val="0"/>
          <w:sz w:val="21"/>
          <w:szCs w:val="21"/>
          <w:highlight w:val="none"/>
          <w:lang w:val="en-US" w:eastAsia="zh-CN"/>
        </w:rPr>
        <w:t>进行原件核查，成交单位应</w:t>
      </w:r>
      <w:r>
        <w:rPr>
          <w:rFonts w:hint="eastAsia" w:ascii="宋体" w:hAnsi="宋体" w:eastAsia="宋体"/>
          <w:b w:val="0"/>
          <w:bCs w:val="0"/>
          <w:color w:val="auto"/>
          <w:kern w:val="0"/>
          <w:sz w:val="21"/>
          <w:szCs w:val="21"/>
          <w:highlight w:val="none"/>
          <w:lang w:eastAsia="zh-CN"/>
        </w:rPr>
        <w:t>在五个工作日</w:t>
      </w:r>
      <w:r>
        <w:rPr>
          <w:rFonts w:hint="eastAsia" w:ascii="宋体" w:hAnsi="宋体" w:eastAsia="宋体"/>
          <w:b w:val="0"/>
          <w:bCs w:val="0"/>
          <w:color w:val="auto"/>
          <w:kern w:val="0"/>
          <w:sz w:val="21"/>
          <w:szCs w:val="21"/>
          <w:highlight w:val="none"/>
          <w:lang w:val="en-US" w:eastAsia="zh-CN"/>
        </w:rPr>
        <w:t>内把相关原件递交至采购代理机构</w:t>
      </w:r>
      <w:r>
        <w:rPr>
          <w:rFonts w:hint="eastAsia" w:ascii="宋体" w:hAnsi="宋体" w:eastAsia="宋体"/>
          <w:b w:val="0"/>
          <w:bCs w:val="0"/>
          <w:color w:val="auto"/>
          <w:kern w:val="0"/>
          <w:sz w:val="21"/>
          <w:szCs w:val="21"/>
          <w:highlight w:val="none"/>
          <w:lang w:eastAsia="zh-CN"/>
        </w:rPr>
        <w:t>办公地址或采购人指定地址进行核查。</w:t>
      </w:r>
    </w:p>
    <w:p w14:paraId="7C04694E">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成交单位有下列情形之一的，取消成交资格：</w:t>
      </w:r>
    </w:p>
    <w:p w14:paraId="0049DD04">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14:paraId="412AA528">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14:paraId="147E2FED">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在规定时间内递交的原件数量、内容与采购人、采购代理机构要求不一致的；</w:t>
      </w:r>
    </w:p>
    <w:p w14:paraId="168CA183">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val="en-US" w:eastAsia="zh-CN"/>
        </w:rPr>
        <w:t>因原件续期、更改等原因不能按时递交原件且未能在规定时间内提供相应部门开具的变更、续期等证明的；</w:t>
      </w:r>
    </w:p>
    <w:p w14:paraId="61B67F0D">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14:paraId="5474888F">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w:t>
      </w:r>
      <w:r>
        <w:rPr>
          <w:rFonts w:hint="eastAsia" w:ascii="宋体" w:hAnsi="宋体" w:eastAsia="宋体"/>
          <w:b w:val="0"/>
          <w:bCs w:val="0"/>
          <w:color w:val="auto"/>
          <w:kern w:val="0"/>
          <w:sz w:val="21"/>
          <w:szCs w:val="21"/>
          <w:highlight w:val="none"/>
          <w:lang w:eastAsia="zh-CN"/>
        </w:rPr>
        <w:t>采购人有权对递交了响应文件的未成交供应商进行原件核查。供应商应在采购代理机构或采购人发出纸质通知五个工作日内将原件递交到采购代理机构办公地址或采购人指定地址进行核查。</w:t>
      </w:r>
    </w:p>
    <w:p w14:paraId="56B6D21D">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供应商有下列情形之一的，响应文件作无效处理，其响应无效：</w:t>
      </w:r>
    </w:p>
    <w:p w14:paraId="189616A3">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14:paraId="37EEA498">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14:paraId="5F8EACA7">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在规定时间内递交的原件数量、内容不符合采购人、采购代理机构要求的；</w:t>
      </w:r>
    </w:p>
    <w:p w14:paraId="626A7873">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因原件续期、更改等原因不能按时递交原件且未能在规定时间内提供相应部门开具的变更、续期等证明的；</w:t>
      </w:r>
    </w:p>
    <w:p w14:paraId="1D0AD84B">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14:paraId="33E003F7">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若供应商出现虚假应标情况，响应文件作无效处理，其响应、成交无效。并根据相关法律上报相关监管部门。</w:t>
      </w:r>
    </w:p>
    <w:p w14:paraId="5AC57F9C">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Tahoma" w:hAnsi="Tahoma" w:eastAsia="微软雅黑"/>
          <w:b w:val="0"/>
          <w:bCs w:val="0"/>
          <w:color w:val="auto"/>
          <w:kern w:val="0"/>
          <w:sz w:val="22"/>
          <w:szCs w:val="22"/>
          <w:highlight w:val="none"/>
          <w:lang w:eastAsia="zh-CN"/>
        </w:rPr>
      </w:pPr>
      <w:r>
        <w:rPr>
          <w:rFonts w:hint="eastAsia" w:ascii="宋体" w:hAnsi="宋体" w:eastAsia="宋体"/>
          <w:b w:val="0"/>
          <w:bCs w:val="0"/>
          <w:color w:val="auto"/>
          <w:kern w:val="0"/>
          <w:sz w:val="21"/>
          <w:szCs w:val="21"/>
          <w:highlight w:val="none"/>
          <w:lang w:eastAsia="zh-CN"/>
        </w:rPr>
        <w:t>属于建办市函[2016]462号通知内的证件可不提供原件，仅提供带二维码原件的复印件即可。</w:t>
      </w:r>
    </w:p>
    <w:p w14:paraId="16C1253A">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3BB922B8">
      <w:pPr>
        <w:pStyle w:val="4"/>
        <w:bidi w:val="0"/>
        <w:rPr>
          <w:rFonts w:hint="eastAsia" w:eastAsia="宋体"/>
          <w:color w:val="auto"/>
          <w:highlight w:val="none"/>
          <w:lang w:val="en-US" w:eastAsia="zh-CN"/>
        </w:rPr>
      </w:pPr>
      <w:bookmarkStart w:id="210" w:name="_Toc18733"/>
      <w:bookmarkStart w:id="211" w:name="_Toc1555"/>
      <w:bookmarkStart w:id="212" w:name="_Toc7001"/>
      <w:r>
        <w:rPr>
          <w:rFonts w:hint="eastAsia" w:eastAsia="宋体"/>
          <w:color w:val="auto"/>
          <w:highlight w:val="none"/>
          <w:lang w:val="en-US" w:eastAsia="zh-CN"/>
        </w:rPr>
        <w:t>30.合同的签订与履行</w:t>
      </w:r>
      <w:bookmarkEnd w:id="210"/>
      <w:bookmarkEnd w:id="211"/>
      <w:bookmarkEnd w:id="212"/>
    </w:p>
    <w:p w14:paraId="507FCDD0">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B6DD37C">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采购人应当自采购结果公示发出之日起30日内，按照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的规定，与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签订书面合同。所签订的合同不得对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确定的事项和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作实质性修改。</w:t>
      </w:r>
    </w:p>
    <w:p w14:paraId="3AA2BD0A">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应当根据合同的约定依法履行合同义务。</w:t>
      </w:r>
    </w:p>
    <w:p w14:paraId="532D7909">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政府采购合同的履行、违约责任和解决争议的方法等适用《中华人民共和国</w:t>
      </w:r>
      <w:r>
        <w:rPr>
          <w:rFonts w:hint="eastAsia" w:ascii="宋体" w:hAnsi="宋体" w:eastAsia="宋体"/>
          <w:color w:val="auto"/>
          <w:kern w:val="0"/>
          <w:sz w:val="21"/>
          <w:szCs w:val="21"/>
          <w:highlight w:val="none"/>
          <w:lang w:eastAsia="zh-CN"/>
        </w:rPr>
        <w:t>民法典</w:t>
      </w:r>
      <w:r>
        <w:rPr>
          <w:rFonts w:hint="eastAsia" w:ascii="宋体" w:hAnsi="宋体" w:eastAsia="宋体"/>
          <w:color w:val="auto"/>
          <w:kern w:val="0"/>
          <w:sz w:val="21"/>
          <w:szCs w:val="21"/>
          <w:highlight w:val="none"/>
        </w:rPr>
        <w:t>》。</w:t>
      </w:r>
    </w:p>
    <w:p w14:paraId="3C51DAF3">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合同签订之日起2个工作日内，</w:t>
      </w:r>
      <w:r>
        <w:rPr>
          <w:rFonts w:hint="eastAsia" w:ascii="宋体" w:hAnsi="宋体" w:eastAsia="宋体"/>
          <w:b/>
          <w:color w:val="auto"/>
          <w:kern w:val="0"/>
          <w:sz w:val="21"/>
          <w:szCs w:val="21"/>
          <w:highlight w:val="none"/>
          <w:lang w:eastAsia="zh-CN"/>
        </w:rPr>
        <w:t>成交供应商</w:t>
      </w:r>
      <w:r>
        <w:rPr>
          <w:rFonts w:hint="eastAsia" w:ascii="宋体" w:hAnsi="宋体" w:eastAsia="宋体"/>
          <w:b/>
          <w:color w:val="auto"/>
          <w:kern w:val="0"/>
          <w:sz w:val="21"/>
          <w:szCs w:val="21"/>
          <w:highlight w:val="none"/>
        </w:rPr>
        <w:t>应将所签订的合同副本（加盖公章）交至</w:t>
      </w:r>
      <w:r>
        <w:rPr>
          <w:rFonts w:hint="eastAsia" w:ascii="宋体" w:hAnsi="宋体"/>
          <w:b/>
          <w:color w:val="auto"/>
          <w:kern w:val="0"/>
          <w:sz w:val="21"/>
          <w:szCs w:val="21"/>
          <w:highlight w:val="none"/>
          <w:lang w:eastAsia="zh-CN"/>
        </w:rPr>
        <w:t>国顺招标有限公司</w:t>
      </w:r>
      <w:r>
        <w:rPr>
          <w:rFonts w:hint="eastAsia" w:ascii="宋体" w:hAnsi="宋体" w:eastAsia="宋体"/>
          <w:b/>
          <w:color w:val="auto"/>
          <w:kern w:val="0"/>
          <w:sz w:val="21"/>
          <w:szCs w:val="21"/>
          <w:highlight w:val="none"/>
        </w:rPr>
        <w:t>归档。</w:t>
      </w:r>
    </w:p>
    <w:p w14:paraId="34FE81B6">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的规定和采购项目的实际情况，拟在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项目的非主体、非关键性工作分包的，应当在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中载明分包承担主体，分包承担主体应当具备相应资质条件且不得再次分包。</w:t>
      </w:r>
    </w:p>
    <w:p w14:paraId="721D5F57">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在评审结束当天至合同履行结束，若因不可抗力的因素（如国家出台新法律法规等）造</w:t>
      </w:r>
      <w:r>
        <w:rPr>
          <w:rFonts w:hint="eastAsia" w:ascii="宋体" w:hAnsi="宋体" w:eastAsia="宋体"/>
          <w:color w:val="auto"/>
          <w:kern w:val="0"/>
          <w:sz w:val="21"/>
          <w:szCs w:val="21"/>
          <w:highlight w:val="none"/>
          <w:lang w:eastAsia="zh-CN"/>
        </w:rPr>
        <w:t>成供应商资质的变动，供应商应以纸质版形式通知采购人。若资质变动导致成交供应商不再具备履行合同资质要求，采购人有权中止合同。</w:t>
      </w:r>
    </w:p>
    <w:p w14:paraId="493F788B">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lang w:eastAsia="zh-CN"/>
        </w:rPr>
        <w:t>成交供应商拒绝与采购人签订合同的，采购人可以按照评审报告推荐的成交候选人名单排序，确定下一候选人为成交供应商，也可以重新开展政府采购活动。</w:t>
      </w:r>
    </w:p>
    <w:p w14:paraId="55DC5BC5">
      <w:pPr>
        <w:pageBreakBefore w:val="0"/>
        <w:kinsoku/>
        <w:wordWrap/>
        <w:topLinePunct w:val="0"/>
        <w:autoSpaceDE/>
        <w:autoSpaceDN/>
        <w:bidi w:val="0"/>
        <w:adjustRightInd w:val="0"/>
        <w:snapToGrid w:val="0"/>
        <w:spacing w:before="161" w:after="200" w:line="400" w:lineRule="exact"/>
        <w:ind w:left="120"/>
        <w:textAlignment w:val="auto"/>
        <w:rPr>
          <w:rFonts w:ascii="宋体" w:hAnsi="宋体" w:eastAsia="宋体" w:cs="宋体"/>
          <w:color w:val="auto"/>
          <w:sz w:val="24"/>
          <w:szCs w:val="22"/>
          <w:highlight w:val="none"/>
          <w:lang w:val="zh-CN" w:eastAsia="zh-CN" w:bidi="zh-CN"/>
        </w:rPr>
      </w:pPr>
    </w:p>
    <w:p w14:paraId="75CF6E48">
      <w:pPr>
        <w:pStyle w:val="4"/>
        <w:bidi w:val="0"/>
        <w:rPr>
          <w:rFonts w:hint="eastAsia" w:eastAsia="宋体"/>
          <w:color w:val="auto"/>
          <w:highlight w:val="none"/>
          <w:lang w:val="en-US" w:eastAsia="zh-CN"/>
        </w:rPr>
      </w:pPr>
      <w:bookmarkStart w:id="213" w:name="_Toc9041"/>
      <w:bookmarkStart w:id="214" w:name="_Toc26547"/>
      <w:r>
        <w:rPr>
          <w:rFonts w:hint="eastAsia" w:eastAsia="宋体"/>
          <w:color w:val="auto"/>
          <w:highlight w:val="none"/>
          <w:lang w:val="en-US" w:eastAsia="zh-CN"/>
        </w:rPr>
        <w:t>31.履约保证金</w:t>
      </w:r>
      <w:bookmarkEnd w:id="213"/>
      <w:bookmarkEnd w:id="214"/>
    </w:p>
    <w:p w14:paraId="1E1D392A">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kern w:val="0"/>
          <w:sz w:val="21"/>
          <w:szCs w:val="21"/>
          <w:highlight w:val="none"/>
          <w:lang w:val="en-US" w:eastAsia="zh-CN"/>
        </w:rPr>
        <w:t xml:space="preserve">32.1. </w:t>
      </w:r>
      <w:r>
        <w:rPr>
          <w:rFonts w:hint="eastAsia" w:ascii="宋体" w:hAnsi="宋体"/>
          <w:color w:val="auto"/>
          <w:kern w:val="0"/>
          <w:sz w:val="21"/>
          <w:szCs w:val="21"/>
          <w:highlight w:val="none"/>
          <w:lang w:val="en-US" w:eastAsia="zh-CN"/>
        </w:rPr>
        <w:t>本项目不收取履约保证金。</w:t>
      </w:r>
      <w:r>
        <w:rPr>
          <w:rFonts w:hint="eastAsia" w:ascii="宋体" w:hAnsi="宋体" w:eastAsia="宋体" w:cs="宋体"/>
          <w:color w:val="auto"/>
          <w:sz w:val="21"/>
          <w:szCs w:val="21"/>
          <w:highlight w:val="none"/>
          <w:lang w:eastAsia="zh-CN"/>
        </w:rPr>
        <w:br w:type="page"/>
      </w:r>
    </w:p>
    <w:p w14:paraId="123ECABF">
      <w:pPr>
        <w:pStyle w:val="2"/>
        <w:numPr>
          <w:ilvl w:val="0"/>
          <w:numId w:val="2"/>
        </w:numPr>
        <w:bidi w:val="0"/>
        <w:ind w:left="0" w:leftChars="0" w:firstLine="0" w:firstLineChars="0"/>
        <w:rPr>
          <w:rFonts w:hint="eastAsia"/>
          <w:color w:val="auto"/>
          <w:highlight w:val="none"/>
          <w:lang w:val="en-US" w:eastAsia="zh-CN"/>
        </w:rPr>
      </w:pPr>
      <w:bookmarkStart w:id="215" w:name="_Toc8191"/>
      <w:r>
        <w:rPr>
          <w:rFonts w:hint="eastAsia"/>
          <w:color w:val="auto"/>
          <w:highlight w:val="none"/>
          <w:lang w:val="en-US" w:eastAsia="zh-CN"/>
        </w:rPr>
        <w:t>用户需求书</w:t>
      </w:r>
      <w:bookmarkEnd w:id="215"/>
    </w:p>
    <w:p w14:paraId="6A940B02">
      <w:pPr>
        <w:bidi w:val="0"/>
        <w:jc w:val="center"/>
        <w:outlineLvl w:val="1"/>
        <w:rPr>
          <w:rFonts w:hint="eastAsia"/>
          <w:b/>
          <w:bCs/>
          <w:color w:val="auto"/>
          <w:sz w:val="28"/>
          <w:szCs w:val="36"/>
          <w:highlight w:val="none"/>
          <w:lang w:eastAsia="zh-CN"/>
        </w:rPr>
      </w:pPr>
      <w:bookmarkStart w:id="216" w:name="_Toc16006"/>
      <w:bookmarkStart w:id="217" w:name="_Toc27180"/>
      <w:bookmarkStart w:id="218" w:name="_Toc18002"/>
      <w:bookmarkStart w:id="219" w:name="_Toc7855"/>
      <w:r>
        <w:rPr>
          <w:rFonts w:hint="eastAsia"/>
          <w:b/>
          <w:bCs/>
          <w:color w:val="auto"/>
          <w:sz w:val="28"/>
          <w:szCs w:val="36"/>
          <w:highlight w:val="none"/>
          <w:lang w:eastAsia="zh-CN"/>
        </w:rPr>
        <w:t>商务要求</w:t>
      </w:r>
      <w:bookmarkEnd w:id="216"/>
      <w:bookmarkEnd w:id="217"/>
      <w:bookmarkEnd w:id="218"/>
      <w:bookmarkEnd w:id="219"/>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153"/>
        <w:gridCol w:w="6869"/>
      </w:tblGrid>
      <w:tr w14:paraId="3A08B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noWrap w:val="0"/>
            <w:vAlign w:val="center"/>
          </w:tcPr>
          <w:p w14:paraId="19DB4A69">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153" w:type="dxa"/>
            <w:noWrap w:val="0"/>
            <w:vAlign w:val="center"/>
          </w:tcPr>
          <w:p w14:paraId="66E18B12">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869" w:type="dxa"/>
            <w:noWrap w:val="0"/>
            <w:vAlign w:val="center"/>
          </w:tcPr>
          <w:p w14:paraId="49B9A3F5">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14:paraId="22B76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47571212">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153" w:type="dxa"/>
            <w:noWrap w:val="0"/>
            <w:vAlign w:val="center"/>
          </w:tcPr>
          <w:p w14:paraId="6FE978BC">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服务期</w:t>
            </w:r>
          </w:p>
        </w:tc>
        <w:tc>
          <w:tcPr>
            <w:tcW w:w="6869" w:type="dxa"/>
            <w:noWrap w:val="0"/>
            <w:vAlign w:val="center"/>
          </w:tcPr>
          <w:p w14:paraId="79317D09">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b w:val="0"/>
                <w:bCs/>
                <w:color w:val="auto"/>
                <w:kern w:val="2"/>
                <w:sz w:val="21"/>
                <w:szCs w:val="21"/>
                <w:highlight w:val="none"/>
                <w:lang w:val="en-US" w:eastAsia="zh-CN" w:bidi="ar-SA"/>
              </w:rPr>
              <w:t>自合同签订之日起一年。</w:t>
            </w:r>
          </w:p>
        </w:tc>
      </w:tr>
      <w:tr w14:paraId="4A034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noWrap w:val="0"/>
            <w:vAlign w:val="center"/>
          </w:tcPr>
          <w:p w14:paraId="12AC0CB9">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1153" w:type="dxa"/>
            <w:noWrap w:val="0"/>
            <w:vAlign w:val="center"/>
          </w:tcPr>
          <w:p w14:paraId="0D660CB4">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869" w:type="dxa"/>
            <w:noWrap w:val="0"/>
            <w:vAlign w:val="center"/>
          </w:tcPr>
          <w:p w14:paraId="247C9519">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采购人指定地点。</w:t>
            </w:r>
          </w:p>
        </w:tc>
      </w:tr>
      <w:tr w14:paraId="1FEA0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0" w:type="auto"/>
            <w:noWrap w:val="0"/>
            <w:vAlign w:val="center"/>
          </w:tcPr>
          <w:p w14:paraId="41D778A9">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1153" w:type="dxa"/>
            <w:noWrap w:val="0"/>
            <w:vAlign w:val="center"/>
          </w:tcPr>
          <w:p w14:paraId="3EDC090A">
            <w:pPr>
              <w:jc w:val="center"/>
              <w:rPr>
                <w:rFonts w:hint="eastAsia" w:ascii="宋体" w:hAnsi="宋体"/>
                <w:color w:val="auto"/>
                <w:szCs w:val="21"/>
                <w:highlight w:val="none"/>
              </w:rPr>
            </w:pPr>
            <w:r>
              <w:rPr>
                <w:rFonts w:hint="eastAsia" w:hAnsi="宋体"/>
                <w:color w:val="auto"/>
                <w:szCs w:val="21"/>
                <w:highlight w:val="none"/>
                <w:lang w:val="en-US" w:eastAsia="zh-CN"/>
              </w:rPr>
              <w:t>付款</w:t>
            </w:r>
            <w:r>
              <w:rPr>
                <w:rFonts w:hint="eastAsia" w:hAnsi="宋体"/>
                <w:color w:val="auto"/>
                <w:szCs w:val="21"/>
                <w:highlight w:val="none"/>
              </w:rPr>
              <w:t>方式</w:t>
            </w:r>
          </w:p>
        </w:tc>
        <w:tc>
          <w:tcPr>
            <w:tcW w:w="6869" w:type="dxa"/>
            <w:noWrap w:val="0"/>
            <w:vAlign w:val="center"/>
          </w:tcPr>
          <w:p w14:paraId="27946524">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（1）该项目服务期为</w:t>
            </w:r>
            <w:r>
              <w:rPr>
                <w:rFonts w:hint="eastAsia" w:ascii="宋体" w:hAnsi="宋体" w:cs="宋体"/>
                <w:color w:val="auto"/>
                <w:sz w:val="21"/>
                <w:szCs w:val="21"/>
                <w:highlight w:val="none"/>
                <w:lang w:val="en-US" w:eastAsia="zh-CN"/>
              </w:rPr>
              <w:t>一</w:t>
            </w:r>
            <w:r>
              <w:rPr>
                <w:rFonts w:hint="default" w:ascii="宋体" w:hAnsi="宋体" w:eastAsia="宋体" w:cs="宋体"/>
                <w:color w:val="auto"/>
                <w:sz w:val="21"/>
                <w:szCs w:val="21"/>
                <w:highlight w:val="none"/>
                <w:lang w:val="en-US" w:eastAsia="zh-CN"/>
              </w:rPr>
              <w:t>年，采取月结方式结算，当月支付上月</w:t>
            </w:r>
            <w:r>
              <w:rPr>
                <w:rFonts w:hint="eastAsia" w:ascii="宋体" w:hAnsi="宋体" w:cs="宋体"/>
                <w:color w:val="auto"/>
                <w:sz w:val="21"/>
                <w:szCs w:val="21"/>
                <w:highlight w:val="none"/>
                <w:lang w:val="en-US" w:eastAsia="zh-CN"/>
              </w:rPr>
              <w:t>运维服务</w:t>
            </w:r>
            <w:r>
              <w:rPr>
                <w:rFonts w:hint="default" w:ascii="宋体" w:hAnsi="宋体" w:eastAsia="宋体" w:cs="宋体"/>
                <w:color w:val="auto"/>
                <w:sz w:val="21"/>
                <w:szCs w:val="21"/>
                <w:highlight w:val="none"/>
                <w:lang w:val="en-US" w:eastAsia="zh-CN"/>
              </w:rPr>
              <w:t>费用，</w:t>
            </w:r>
            <w:r>
              <w:rPr>
                <w:rFonts w:hint="eastAsia" w:ascii="宋体" w:hAnsi="宋体" w:cs="宋体"/>
                <w:color w:val="auto"/>
                <w:sz w:val="21"/>
                <w:szCs w:val="21"/>
                <w:highlight w:val="none"/>
                <w:lang w:val="en-US" w:eastAsia="zh-CN"/>
              </w:rPr>
              <w:t>月运维服务费用=中标（成交）金额÷12个月。</w:t>
            </w:r>
          </w:p>
          <w:p w14:paraId="7C40E6D9">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上述</w:t>
            </w:r>
            <w:r>
              <w:rPr>
                <w:rFonts w:hint="eastAsia" w:ascii="宋体" w:hAnsi="宋体" w:cs="宋体"/>
                <w:color w:val="auto"/>
                <w:sz w:val="21"/>
                <w:szCs w:val="21"/>
                <w:highlight w:val="none"/>
                <w:lang w:val="en-US" w:eastAsia="zh-CN"/>
              </w:rPr>
              <w:t>运维服务</w:t>
            </w:r>
            <w:r>
              <w:rPr>
                <w:rFonts w:hint="default" w:ascii="宋体" w:hAnsi="宋体" w:eastAsia="宋体" w:cs="宋体"/>
                <w:color w:val="auto"/>
                <w:sz w:val="21"/>
                <w:szCs w:val="21"/>
                <w:highlight w:val="none"/>
                <w:lang w:val="en-US" w:eastAsia="zh-CN"/>
              </w:rPr>
              <w:t>费用采购人按照</w:t>
            </w:r>
            <w:r>
              <w:rPr>
                <w:rFonts w:hint="eastAsia" w:ascii="宋体" w:hAnsi="宋体" w:cs="宋体"/>
                <w:color w:val="auto"/>
                <w:sz w:val="21"/>
                <w:szCs w:val="21"/>
                <w:highlight w:val="none"/>
                <w:lang w:val="en-US" w:eastAsia="zh-CN"/>
              </w:rPr>
              <w:t>《石排镇“慧眼”视频运维项目考核打分表》考核</w:t>
            </w:r>
            <w:r>
              <w:rPr>
                <w:rFonts w:hint="default" w:ascii="宋体" w:hAnsi="宋体" w:eastAsia="宋体" w:cs="宋体"/>
                <w:color w:val="auto"/>
                <w:sz w:val="21"/>
                <w:szCs w:val="21"/>
                <w:highlight w:val="none"/>
                <w:lang w:val="en-US" w:eastAsia="zh-CN"/>
              </w:rPr>
              <w:t>结果进行发放，若</w:t>
            </w:r>
            <w:r>
              <w:rPr>
                <w:rFonts w:hint="eastAsia" w:ascii="宋体" w:hAnsi="宋体" w:cs="宋体"/>
                <w:color w:val="auto"/>
                <w:sz w:val="21"/>
                <w:szCs w:val="21"/>
                <w:highlight w:val="none"/>
                <w:lang w:val="en-US" w:eastAsia="zh-CN"/>
              </w:rPr>
              <w:t>考核</w:t>
            </w:r>
            <w:r>
              <w:rPr>
                <w:rFonts w:hint="default" w:ascii="宋体" w:hAnsi="宋体" w:eastAsia="宋体" w:cs="宋体"/>
                <w:color w:val="auto"/>
                <w:sz w:val="21"/>
                <w:szCs w:val="21"/>
                <w:highlight w:val="none"/>
                <w:lang w:val="en-US" w:eastAsia="zh-CN"/>
              </w:rPr>
              <w:t>结果</w:t>
            </w:r>
            <w:r>
              <w:rPr>
                <w:rFonts w:hint="eastAsia" w:ascii="宋体" w:hAnsi="宋体" w:cs="宋体"/>
                <w:color w:val="auto"/>
                <w:sz w:val="21"/>
                <w:szCs w:val="21"/>
                <w:highlight w:val="none"/>
                <w:lang w:val="en-US" w:eastAsia="zh-CN"/>
              </w:rPr>
              <w:t>未达9</w:t>
            </w:r>
            <w:r>
              <w:rPr>
                <w:rFonts w:hint="default" w:ascii="宋体" w:hAnsi="宋体" w:eastAsia="宋体" w:cs="宋体"/>
                <w:color w:val="auto"/>
                <w:sz w:val="21"/>
                <w:szCs w:val="21"/>
                <w:highlight w:val="none"/>
                <w:lang w:val="en-US" w:eastAsia="zh-CN"/>
              </w:rPr>
              <w:t>0分</w:t>
            </w:r>
            <w:r>
              <w:rPr>
                <w:rFonts w:hint="eastAsia" w:ascii="宋体" w:hAnsi="宋体" w:cs="宋体"/>
                <w:color w:val="auto"/>
                <w:sz w:val="21"/>
                <w:szCs w:val="21"/>
                <w:highlight w:val="none"/>
                <w:lang w:val="en-US" w:eastAsia="zh-CN"/>
              </w:rPr>
              <w:t>的</w:t>
            </w:r>
            <w:r>
              <w:rPr>
                <w:rFonts w:hint="default" w:ascii="宋体" w:hAnsi="宋体" w:eastAsia="宋体" w:cs="宋体"/>
                <w:color w:val="auto"/>
                <w:sz w:val="21"/>
                <w:szCs w:val="21"/>
                <w:highlight w:val="none"/>
                <w:lang w:val="en-US" w:eastAsia="zh-CN"/>
              </w:rPr>
              <w:t>，每扣1分扣除1000元</w:t>
            </w:r>
            <w:r>
              <w:rPr>
                <w:rFonts w:hint="eastAsia" w:ascii="宋体" w:hAnsi="宋体" w:cs="宋体"/>
                <w:color w:val="auto"/>
                <w:sz w:val="21"/>
                <w:szCs w:val="21"/>
                <w:highlight w:val="none"/>
                <w:lang w:val="en-US" w:eastAsia="zh-CN"/>
              </w:rPr>
              <w:t>，直至当月运维服务费用扣完为止</w:t>
            </w:r>
            <w:r>
              <w:rPr>
                <w:rFonts w:hint="default" w:ascii="宋体" w:hAnsi="宋体" w:eastAsia="宋体" w:cs="宋体"/>
                <w:color w:val="auto"/>
                <w:sz w:val="21"/>
                <w:szCs w:val="21"/>
                <w:highlight w:val="none"/>
                <w:lang w:val="en-US" w:eastAsia="zh-CN"/>
              </w:rPr>
              <w:t>。若</w:t>
            </w:r>
            <w:r>
              <w:rPr>
                <w:rFonts w:hint="eastAsia" w:ascii="宋体" w:hAnsi="宋体" w:cs="宋体"/>
                <w:color w:val="auto"/>
                <w:sz w:val="21"/>
                <w:szCs w:val="21"/>
                <w:highlight w:val="none"/>
                <w:lang w:val="en-US" w:eastAsia="zh-CN"/>
              </w:rPr>
              <w:t>服务期内连续两次或累计三次以上不达标（</w:t>
            </w:r>
            <w:r>
              <w:rPr>
                <w:rFonts w:hint="eastAsia" w:ascii="宋体" w:hAnsi="宋体"/>
                <w:color w:val="auto"/>
                <w:szCs w:val="21"/>
                <w:highlight w:val="none"/>
              </w:rPr>
              <w:t>综合检查得分在90分以上的（含90分）为达标</w:t>
            </w:r>
            <w:r>
              <w:rPr>
                <w:rFonts w:hint="eastAsia" w:ascii="宋体" w:hAnsi="宋体" w:cs="宋体"/>
                <w:color w:val="auto"/>
                <w:sz w:val="21"/>
                <w:szCs w:val="21"/>
                <w:highlight w:val="none"/>
                <w:lang w:val="en-US" w:eastAsia="zh-CN"/>
              </w:rPr>
              <w:t>）的</w:t>
            </w:r>
            <w:r>
              <w:rPr>
                <w:rFonts w:hint="default" w:ascii="宋体" w:hAnsi="宋体" w:eastAsia="宋体" w:cs="宋体"/>
                <w:color w:val="auto"/>
                <w:sz w:val="21"/>
                <w:szCs w:val="21"/>
                <w:highlight w:val="none"/>
                <w:lang w:val="en-US" w:eastAsia="zh-CN"/>
              </w:rPr>
              <w:t>，采购人有权单方面终止合同</w:t>
            </w:r>
            <w:r>
              <w:rPr>
                <w:rFonts w:hint="eastAsia" w:ascii="宋体" w:hAnsi="宋体" w:cs="宋体"/>
                <w:color w:val="auto"/>
                <w:sz w:val="21"/>
                <w:szCs w:val="21"/>
                <w:highlight w:val="none"/>
                <w:lang w:val="en-US" w:eastAsia="zh-CN"/>
              </w:rPr>
              <w:t>，因此产生的后果有中标人承担</w:t>
            </w:r>
            <w:r>
              <w:rPr>
                <w:rFonts w:hint="default" w:ascii="宋体" w:hAnsi="宋体" w:eastAsia="宋体" w:cs="宋体"/>
                <w:color w:val="auto"/>
                <w:sz w:val="21"/>
                <w:szCs w:val="21"/>
                <w:highlight w:val="none"/>
                <w:lang w:val="en-US" w:eastAsia="zh-CN"/>
              </w:rPr>
              <w:t>。</w:t>
            </w:r>
          </w:p>
          <w:p w14:paraId="35CBBFDD">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）中标人请款时必须提交国家税务机关印制的发票给采购人，采购人才能付款，否则视为无效票据。</w:t>
            </w:r>
          </w:p>
        </w:tc>
      </w:tr>
      <w:tr w14:paraId="7094F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0" w:type="auto"/>
            <w:noWrap w:val="0"/>
            <w:vAlign w:val="center"/>
          </w:tcPr>
          <w:p w14:paraId="2995971A">
            <w:pPr>
              <w:spacing w:line="42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1153" w:type="dxa"/>
            <w:noWrap w:val="0"/>
            <w:vAlign w:val="center"/>
          </w:tcPr>
          <w:p w14:paraId="16B0F0CC">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rPr>
              <w:t>验收要求</w:t>
            </w:r>
          </w:p>
        </w:tc>
        <w:tc>
          <w:tcPr>
            <w:tcW w:w="6869" w:type="dxa"/>
            <w:noWrap w:val="0"/>
            <w:vAlign w:val="center"/>
          </w:tcPr>
          <w:p w14:paraId="6F17DF54">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按国家及行业相关标准验收。</w:t>
            </w:r>
          </w:p>
        </w:tc>
      </w:tr>
      <w:tr w14:paraId="0B50B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0" w:type="auto"/>
            <w:noWrap w:val="0"/>
            <w:vAlign w:val="center"/>
          </w:tcPr>
          <w:p w14:paraId="63E912EE">
            <w:pPr>
              <w:spacing w:line="42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1153" w:type="dxa"/>
            <w:noWrap w:val="0"/>
            <w:vAlign w:val="center"/>
          </w:tcPr>
          <w:p w14:paraId="272DB00E">
            <w:pPr>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rPr>
              <w:t>其它</w:t>
            </w:r>
          </w:p>
        </w:tc>
        <w:tc>
          <w:tcPr>
            <w:tcW w:w="6869" w:type="dxa"/>
            <w:noWrap w:val="0"/>
            <w:vAlign w:val="center"/>
          </w:tcPr>
          <w:p w14:paraId="07156D82">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应充分结合本采购文件上下文了解项目需求、采购文件未尽事宜，将在合同签订或项目执行过程中双方协商确定，供应商须无条件满足采购单位的合理要求。</w:t>
            </w:r>
          </w:p>
        </w:tc>
      </w:tr>
    </w:tbl>
    <w:p w14:paraId="41A1D4B0">
      <w:pPr>
        <w:rPr>
          <w:rFonts w:hint="default"/>
          <w:color w:val="auto"/>
          <w:highlight w:val="none"/>
          <w:lang w:val="en-US" w:eastAsia="zh-CN"/>
        </w:rPr>
      </w:pPr>
      <w:r>
        <w:rPr>
          <w:rFonts w:hint="default"/>
          <w:color w:val="auto"/>
          <w:highlight w:val="none"/>
          <w:lang w:val="en-US" w:eastAsia="zh-CN"/>
        </w:rPr>
        <w:br w:type="page"/>
      </w:r>
    </w:p>
    <w:p w14:paraId="5F504508">
      <w:pPr>
        <w:bidi w:val="0"/>
        <w:jc w:val="center"/>
        <w:outlineLvl w:val="1"/>
        <w:rPr>
          <w:rFonts w:hint="eastAsia" w:eastAsia="宋体"/>
          <w:b/>
          <w:bCs/>
          <w:color w:val="auto"/>
          <w:sz w:val="28"/>
          <w:szCs w:val="36"/>
          <w:highlight w:val="none"/>
          <w:lang w:eastAsia="zh-CN"/>
        </w:rPr>
      </w:pPr>
      <w:bookmarkStart w:id="220" w:name="_Toc4445"/>
      <w:bookmarkStart w:id="221" w:name="_Toc4572"/>
      <w:bookmarkStart w:id="222" w:name="_Toc16983"/>
      <w:bookmarkStart w:id="223" w:name="_Toc3714"/>
      <w:r>
        <w:rPr>
          <w:rFonts w:hint="eastAsia" w:eastAsia="宋体"/>
          <w:b/>
          <w:bCs/>
          <w:color w:val="auto"/>
          <w:sz w:val="28"/>
          <w:szCs w:val="36"/>
          <w:highlight w:val="none"/>
          <w:lang w:eastAsia="zh-CN"/>
        </w:rPr>
        <w:t>技术要求</w:t>
      </w:r>
      <w:bookmarkEnd w:id="220"/>
      <w:bookmarkEnd w:id="221"/>
      <w:bookmarkEnd w:id="222"/>
      <w:bookmarkEnd w:id="223"/>
    </w:p>
    <w:p w14:paraId="06B73C7F">
      <w:pPr>
        <w:pStyle w:val="42"/>
        <w:spacing w:line="360" w:lineRule="auto"/>
        <w:jc w:val="both"/>
        <w:rPr>
          <w:rFonts w:hint="default" w:ascii="宋体" w:hAnsi="宋体"/>
          <w:color w:val="auto"/>
          <w:sz w:val="21"/>
          <w:szCs w:val="21"/>
          <w:highlight w:val="none"/>
        </w:rPr>
      </w:pPr>
      <w:r>
        <w:rPr>
          <w:rFonts w:ascii="宋体" w:hAnsi="宋体"/>
          <w:b/>
          <w:color w:val="auto"/>
          <w:sz w:val="21"/>
          <w:szCs w:val="21"/>
          <w:highlight w:val="none"/>
        </w:rPr>
        <w:t>一、项目建设内容</w:t>
      </w:r>
    </w:p>
    <w:p w14:paraId="4AB397CD">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本项目规划租赁</w:t>
      </w:r>
      <w:r>
        <w:rPr>
          <w:rFonts w:hint="eastAsia" w:ascii="宋体" w:hAnsi="宋体"/>
          <w:color w:val="auto"/>
          <w:sz w:val="21"/>
          <w:szCs w:val="21"/>
          <w:highlight w:val="none"/>
          <w:lang w:val="en-US" w:eastAsia="zh-CN"/>
        </w:rPr>
        <w:t>63</w:t>
      </w:r>
      <w:r>
        <w:rPr>
          <w:rFonts w:ascii="宋体" w:hAnsi="宋体"/>
          <w:color w:val="auto"/>
          <w:sz w:val="21"/>
          <w:szCs w:val="21"/>
          <w:highlight w:val="none"/>
        </w:rPr>
        <w:t>路视频。主要部署村居小巷、旅业场所、娱乐场所、农贸市场等重点场所或本辖区业务部门认为有必要安装的区域。提供相应数量专线接入线路，所有监控点位前端均安装人脸及人体抓拍摄像机，每个摄像机上行带宽宜不低于10Mbps，摄像机的分辨率要求400万像素或以上，每个监控点存储时长不少于30天，人脸图片存储时间不少于90天。</w:t>
      </w:r>
    </w:p>
    <w:p w14:paraId="6AF192F8">
      <w:pPr>
        <w:pStyle w:val="42"/>
        <w:spacing w:line="360" w:lineRule="auto"/>
        <w:jc w:val="both"/>
        <w:rPr>
          <w:rFonts w:hint="default" w:ascii="宋体" w:hAnsi="宋体"/>
          <w:color w:val="auto"/>
          <w:sz w:val="21"/>
          <w:szCs w:val="21"/>
          <w:highlight w:val="none"/>
        </w:rPr>
      </w:pPr>
      <w:r>
        <w:rPr>
          <w:rFonts w:ascii="宋体" w:hAnsi="宋体"/>
          <w:b/>
          <w:color w:val="auto"/>
          <w:sz w:val="21"/>
          <w:szCs w:val="21"/>
          <w:highlight w:val="none"/>
        </w:rPr>
        <w:t>二、选点原则</w:t>
      </w:r>
    </w:p>
    <w:p w14:paraId="40051D3D">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对标“街面区域公安一类点保下限、重要场所慧眼视频参与提上限”的原则，从满足各警种业务应用需求出发，在重点公共区域和关键场所部位应当优先采用一类点方式部署，确保视图数据精准采集；慧眼视频应灵活选择有墙体或利旧杆体安装，部署在村居小巷、旅业场所、娱乐场所、农贸市场等重点场所或本辖区业务部门认为有必要安装的位置，是一类点的有效补充，实现视图数据应采尽采。</w:t>
      </w:r>
    </w:p>
    <w:p w14:paraId="2CE790B3">
      <w:pPr>
        <w:pStyle w:val="42"/>
        <w:spacing w:line="360" w:lineRule="auto"/>
        <w:jc w:val="both"/>
        <w:rPr>
          <w:rFonts w:hint="default" w:ascii="宋体" w:hAnsi="宋体"/>
          <w:color w:val="auto"/>
          <w:sz w:val="21"/>
          <w:szCs w:val="21"/>
          <w:highlight w:val="none"/>
        </w:rPr>
      </w:pPr>
      <w:r>
        <w:rPr>
          <w:rFonts w:ascii="宋体" w:hAnsi="宋体"/>
          <w:b/>
          <w:color w:val="auto"/>
          <w:sz w:val="21"/>
          <w:szCs w:val="21"/>
          <w:highlight w:val="none"/>
        </w:rPr>
        <w:t>三、安装要求</w:t>
      </w:r>
    </w:p>
    <w:p w14:paraId="74238C43">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安装场景主要分为治安视频场景、人脸抓拍场景，本项目“慧眼”视频建设要求同时实现治安视频、人脸抓拍两种场景。</w:t>
      </w:r>
    </w:p>
    <w:p w14:paraId="661394D9">
      <w:pPr>
        <w:pStyle w:val="42"/>
        <w:spacing w:line="360" w:lineRule="auto"/>
        <w:ind w:firstLine="480"/>
        <w:jc w:val="both"/>
        <w:rPr>
          <w:rFonts w:hint="default" w:ascii="宋体" w:hAnsi="宋体"/>
          <w:color w:val="auto"/>
          <w:sz w:val="21"/>
          <w:szCs w:val="21"/>
          <w:highlight w:val="none"/>
        </w:rPr>
      </w:pPr>
      <w:r>
        <w:rPr>
          <w:rFonts w:ascii="宋体" w:hAnsi="宋体"/>
          <w:b/>
          <w:color w:val="auto"/>
          <w:sz w:val="21"/>
          <w:szCs w:val="21"/>
          <w:highlight w:val="none"/>
        </w:rPr>
        <w:t>1、治安视频场景</w:t>
      </w:r>
    </w:p>
    <w:p w14:paraId="68BB64AA">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该场景主要以追溯事件轨迹关系和态势为主，确保监控区域视域全覆盖、无盲点。点位的安装规范需符合以下安装标准，安装完成后需按照《“慧眼”治安视频场景验收表》开展验收工作。</w:t>
      </w:r>
    </w:p>
    <w:p w14:paraId="231B2463">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（1）安装高度宜控制在4米以内，宜采用短焦距（3-6mm），垂直俯视角度不大于30度；</w:t>
      </w:r>
    </w:p>
    <w:p w14:paraId="5B71580F">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（2）安装时应避免摄像头被树叶、空调、广告牌、墙壁等遮挡；</w:t>
      </w:r>
    </w:p>
    <w:p w14:paraId="596C4D11">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（3）安装时摄像机避免强光直射、侧逆光或玻璃、地砖、湖面等反光场景；</w:t>
      </w:r>
    </w:p>
    <w:p w14:paraId="1C71E936">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（4）安装时采集点位的经纬度信息，经纬度应符合东莞公安智图应用标准。</w:t>
      </w:r>
    </w:p>
    <w:p w14:paraId="731FD450">
      <w:pPr>
        <w:pStyle w:val="42"/>
        <w:spacing w:line="360" w:lineRule="auto"/>
        <w:ind w:firstLine="480"/>
        <w:jc w:val="both"/>
        <w:rPr>
          <w:rFonts w:hint="default" w:ascii="宋体" w:hAnsi="宋体"/>
          <w:color w:val="auto"/>
          <w:sz w:val="21"/>
          <w:szCs w:val="21"/>
          <w:highlight w:val="none"/>
        </w:rPr>
      </w:pPr>
      <w:r>
        <w:rPr>
          <w:rFonts w:ascii="宋体" w:hAnsi="宋体"/>
          <w:b/>
          <w:color w:val="auto"/>
          <w:sz w:val="21"/>
          <w:szCs w:val="21"/>
          <w:highlight w:val="none"/>
        </w:rPr>
        <w:t>2、人脸抓拍场景</w:t>
      </w:r>
    </w:p>
    <w:p w14:paraId="6AFAFFFF">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该场景主要以人脸抓拍功能为主，采用400W以上智能摄像机，点位的安装规范要求符合人脸抓拍的规范标准。重点人脸识别场景需按照《“慧眼”人脸识别验收标准表》开展验收工作。</w:t>
      </w:r>
    </w:p>
    <w:p w14:paraId="09B7D2C9">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（1）安装规范要求</w:t>
      </w:r>
    </w:p>
    <w:p w14:paraId="78CFB146">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慧眼摄像机应选择在通道或门口位置面向人员行进方向正面安装，监控通道宽度宜为3米内，架设高度不超过3.5米，摄像机具体安装高度、角度如下：</w:t>
      </w:r>
    </w:p>
    <w:p w14:paraId="45F40B99">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1）适宜监控距离4～6米，建议从高到低选择优先级别进行建设：</w:t>
      </w:r>
    </w:p>
    <w:p w14:paraId="6C1F0D65">
      <w:pPr>
        <w:pStyle w:val="42"/>
        <w:spacing w:line="360" w:lineRule="auto"/>
        <w:ind w:firstLine="440"/>
        <w:jc w:val="both"/>
        <w:rPr>
          <w:rFonts w:hint="default" w:ascii="宋体" w:hAnsi="宋体"/>
          <w:color w:val="auto"/>
          <w:sz w:val="21"/>
          <w:szCs w:val="21"/>
          <w:highlight w:val="none"/>
        </w:rPr>
      </w:pPr>
      <w:r>
        <w:rPr>
          <w:rFonts w:ascii="宋体" w:hAnsi="宋体"/>
          <w:color w:val="auto"/>
          <w:sz w:val="21"/>
          <w:szCs w:val="21"/>
          <w:highlight w:val="none"/>
        </w:rPr>
        <w:t>架设高度2.7～3.0米，摄像机俯角13°～15°，为室外场景最优安装配置，优先级别高。</w:t>
      </w:r>
    </w:p>
    <w:p w14:paraId="1071C6FC">
      <w:pPr>
        <w:pStyle w:val="42"/>
        <w:spacing w:line="360" w:lineRule="auto"/>
        <w:ind w:firstLine="440"/>
        <w:jc w:val="both"/>
        <w:rPr>
          <w:rFonts w:hint="default" w:ascii="宋体" w:hAnsi="宋体"/>
          <w:color w:val="auto"/>
          <w:sz w:val="21"/>
          <w:szCs w:val="21"/>
          <w:highlight w:val="none"/>
        </w:rPr>
      </w:pPr>
      <w:r>
        <w:rPr>
          <w:rFonts w:ascii="宋体" w:hAnsi="宋体"/>
          <w:color w:val="auto"/>
          <w:sz w:val="21"/>
          <w:szCs w:val="21"/>
          <w:highlight w:val="none"/>
        </w:rPr>
        <w:t>架设高度2.3～2.6米，摄像机俯角10°～12°，效果优但安装过低容易被他人拨动，优先级别中。</w:t>
      </w:r>
    </w:p>
    <w:p w14:paraId="43784267">
      <w:pPr>
        <w:pStyle w:val="42"/>
        <w:spacing w:line="360" w:lineRule="auto"/>
        <w:ind w:firstLine="440"/>
        <w:jc w:val="both"/>
        <w:rPr>
          <w:rFonts w:hint="default" w:ascii="宋体" w:hAnsi="宋体"/>
          <w:color w:val="auto"/>
          <w:sz w:val="21"/>
          <w:szCs w:val="21"/>
          <w:highlight w:val="none"/>
        </w:rPr>
      </w:pPr>
      <w:r>
        <w:rPr>
          <w:rFonts w:ascii="宋体" w:hAnsi="宋体"/>
          <w:color w:val="auto"/>
          <w:sz w:val="21"/>
          <w:szCs w:val="21"/>
          <w:highlight w:val="none"/>
        </w:rPr>
        <w:t>架设高度3.1～3.5米，摄像机俯角16°～18°，需要较大俯角才能保证人脸效果，易漏拍，优先级别低。</w:t>
      </w:r>
    </w:p>
    <w:p w14:paraId="52508CE4">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2）适宜监控距离1.5～3米，建议从高到低选择优先级别进行建设：</w:t>
      </w:r>
    </w:p>
    <w:p w14:paraId="07B0B99B">
      <w:pPr>
        <w:pStyle w:val="42"/>
        <w:spacing w:line="360" w:lineRule="auto"/>
        <w:ind w:firstLine="440"/>
        <w:jc w:val="both"/>
        <w:rPr>
          <w:rFonts w:hint="default" w:ascii="宋体" w:hAnsi="宋体"/>
          <w:color w:val="auto"/>
          <w:sz w:val="21"/>
          <w:szCs w:val="21"/>
          <w:highlight w:val="none"/>
        </w:rPr>
      </w:pPr>
      <w:r>
        <w:rPr>
          <w:rFonts w:ascii="宋体" w:hAnsi="宋体"/>
          <w:color w:val="auto"/>
          <w:sz w:val="21"/>
          <w:szCs w:val="21"/>
          <w:highlight w:val="none"/>
        </w:rPr>
        <w:t>架设高度2.0～2.3米，摄像机俯角13°～15°，适合室内场景监控距离2～3米，优先级别高。</w:t>
      </w:r>
    </w:p>
    <w:p w14:paraId="5A7E7640">
      <w:pPr>
        <w:pStyle w:val="42"/>
        <w:spacing w:line="360" w:lineRule="auto"/>
        <w:ind w:firstLine="440"/>
        <w:jc w:val="both"/>
        <w:rPr>
          <w:rFonts w:hint="default" w:ascii="宋体" w:hAnsi="宋体"/>
          <w:color w:val="auto"/>
          <w:sz w:val="21"/>
          <w:szCs w:val="21"/>
          <w:highlight w:val="none"/>
        </w:rPr>
      </w:pPr>
      <w:r>
        <w:rPr>
          <w:rFonts w:ascii="宋体" w:hAnsi="宋体"/>
          <w:color w:val="auto"/>
          <w:sz w:val="21"/>
          <w:szCs w:val="21"/>
          <w:highlight w:val="none"/>
        </w:rPr>
        <w:t>架设高度1.7～2.0米，摄像机俯角10°～12°，适合监控距离较短场景，优先级别低。</w:t>
      </w:r>
    </w:p>
    <w:p w14:paraId="6EEF39E8">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（2）安装效果测试要求</w:t>
      </w:r>
    </w:p>
    <w:p w14:paraId="0D7A3C3F">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1）摄像机安装完成后，打开慧眼查看摄像机实时画面，确保画面清晰无遮挡。</w:t>
      </w:r>
    </w:p>
    <w:p w14:paraId="1FB44A8A">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2）测试人员站立于摄像机前方适宜监控距离处且位于通道中间位置，查看测试人员正脸是否位于摄像机画面中心。</w:t>
      </w:r>
    </w:p>
    <w:p w14:paraId="3817A414">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3）测试人员面向人员行进方向正面，分别向左、右水平偏转20°，查看摄像机是否均能拍摄到测试人员正脸五官。</w:t>
      </w:r>
    </w:p>
    <w:p w14:paraId="5F320CE3">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4）若受摄像机安装环境限制，无法按照以上规范通过测试的，建议通过选择合适的安装支架，确保满足安装要求，场景确实无法满足的，建议更改点位或采取一类点人脸立杆的方式部署。</w:t>
      </w:r>
    </w:p>
    <w:p w14:paraId="638C351B">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（3）环境光源要求</w:t>
      </w:r>
    </w:p>
    <w:p w14:paraId="17C76BBB">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光源环境选择单一光源环境最佳，一般首选常亮环境，不建议选择逆光光源环境。如监控方向往大门出口指向，则建议聚焦区域位于大门往内4米处，避开逆光及开关门造成的强光环境变化。</w:t>
      </w:r>
    </w:p>
    <w:p w14:paraId="48096241">
      <w:pPr>
        <w:pStyle w:val="42"/>
        <w:spacing w:line="360" w:lineRule="auto"/>
        <w:jc w:val="both"/>
        <w:rPr>
          <w:rFonts w:hint="default" w:ascii="宋体" w:hAnsi="宋体"/>
          <w:color w:val="auto"/>
          <w:sz w:val="21"/>
          <w:szCs w:val="21"/>
          <w:highlight w:val="none"/>
        </w:rPr>
      </w:pPr>
      <w:r>
        <w:rPr>
          <w:rFonts w:ascii="宋体" w:hAnsi="宋体"/>
          <w:b/>
          <w:color w:val="auto"/>
          <w:sz w:val="21"/>
          <w:szCs w:val="21"/>
          <w:highlight w:val="none"/>
        </w:rPr>
        <w:t>四、摄像机参数要求</w:t>
      </w:r>
    </w:p>
    <w:p w14:paraId="17CCBCDE">
      <w:pPr>
        <w:pStyle w:val="42"/>
        <w:spacing w:line="360" w:lineRule="auto"/>
        <w:ind w:firstLine="480"/>
        <w:jc w:val="both"/>
        <w:rPr>
          <w:rFonts w:hint="default" w:ascii="宋体" w:hAnsi="宋体"/>
          <w:color w:val="auto"/>
          <w:sz w:val="21"/>
          <w:szCs w:val="21"/>
          <w:highlight w:val="none"/>
        </w:rPr>
      </w:pPr>
      <w:r>
        <w:rPr>
          <w:rFonts w:ascii="宋体" w:hAnsi="宋体"/>
          <w:b/>
          <w:color w:val="auto"/>
          <w:sz w:val="21"/>
          <w:szCs w:val="21"/>
          <w:highlight w:val="none"/>
        </w:rPr>
        <w:t>1、技术参数要求：</w:t>
      </w:r>
    </w:p>
    <w:p w14:paraId="792F2A1B">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1）分辨率要求400万像素或以上（1080P）。</w:t>
      </w:r>
    </w:p>
    <w:p w14:paraId="483F41E6">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2）靶面（感光元件）要求尺寸在1/2.8或以上，CCD及CMOS皆可。</w:t>
      </w:r>
    </w:p>
    <w:p w14:paraId="11672332">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3）支持2D/3D降噪，宽动态范围80DB以上。</w:t>
      </w:r>
    </w:p>
    <w:p w14:paraId="5BCB6C37">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4）视频压缩码率32Kbps~16Mbps。</w:t>
      </w:r>
    </w:p>
    <w:p w14:paraId="6E570D64">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5）要求支持H.265/H.264视频压缩技术。</w:t>
      </w:r>
    </w:p>
    <w:p w14:paraId="2C556AEF">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6）防雷保护，符合国家标准GB/T17626.5，国际标准IEC61000-4-5。</w:t>
      </w:r>
    </w:p>
    <w:p w14:paraId="35A47695">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7）支持GB/T28181、GA/T 1400协议。</w:t>
      </w:r>
    </w:p>
    <w:p w14:paraId="786273C6">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8）支持断网自动重连。</w:t>
      </w:r>
    </w:p>
    <w:p w14:paraId="0D126A55">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9）IP66及以上防护等级。</w:t>
      </w:r>
    </w:p>
    <w:p w14:paraId="4F97FF45">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10）支持有线或无线接入（4G/5G）。</w:t>
      </w:r>
    </w:p>
    <w:p w14:paraId="266BEDAE">
      <w:pPr>
        <w:pStyle w:val="42"/>
        <w:spacing w:line="360" w:lineRule="auto"/>
        <w:ind w:firstLine="480"/>
        <w:jc w:val="both"/>
        <w:rPr>
          <w:rFonts w:hint="default" w:ascii="宋体" w:hAnsi="宋体"/>
          <w:color w:val="auto"/>
          <w:sz w:val="21"/>
          <w:szCs w:val="21"/>
          <w:highlight w:val="none"/>
        </w:rPr>
      </w:pPr>
      <w:r>
        <w:rPr>
          <w:rFonts w:ascii="宋体" w:hAnsi="宋体"/>
          <w:b/>
          <w:color w:val="auto"/>
          <w:sz w:val="21"/>
          <w:szCs w:val="21"/>
          <w:highlight w:val="none"/>
        </w:rPr>
        <w:t>2、特有参数要求：</w:t>
      </w:r>
    </w:p>
    <w:p w14:paraId="3CE8EF17">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1）要求支持人脸抓拍，人形、车辆、非机动车抓拍可根据需求定制，抓拍图片符合视图库级联技术的标准要求。</w:t>
      </w:r>
    </w:p>
    <w:p w14:paraId="0513DCFD">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2）支持对运动图片进行检测、跟踪、抓拍、评分、筛选，输出最优的图片抓图，具备图片去重功能。</w:t>
      </w:r>
    </w:p>
    <w:p w14:paraId="162BC492">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3）支持抓拍次数可设。</w:t>
      </w:r>
    </w:p>
    <w:p w14:paraId="2798D36A">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4）支持多人脸同屏抓拍，要求同时对不少于10个移动人脸图片进行检测、跟踪和抓拍。</w:t>
      </w:r>
    </w:p>
    <w:p w14:paraId="09EDBD6D">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5）要求人脸抓拍率不低于99%。</w:t>
      </w:r>
    </w:p>
    <w:p w14:paraId="436E3648">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6）支持PPPoE拨号。</w:t>
      </w:r>
    </w:p>
    <w:p w14:paraId="6F59E82F">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7）支持对摄像机参数进行批量修改。</w:t>
      </w:r>
    </w:p>
    <w:p w14:paraId="6171944E">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8）支持图片断网续传。</w:t>
      </w:r>
    </w:p>
    <w:p w14:paraId="75D3605D">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9）提供摄像机安装配件，包含存储卡（不少于32G）、摄像机支架（不少于30CM）、电源。</w:t>
      </w:r>
    </w:p>
    <w:p w14:paraId="16CB5DB2">
      <w:pPr>
        <w:pStyle w:val="42"/>
        <w:spacing w:line="360" w:lineRule="auto"/>
        <w:jc w:val="both"/>
        <w:rPr>
          <w:rFonts w:hint="default" w:ascii="宋体" w:hAnsi="宋体"/>
          <w:color w:val="auto"/>
          <w:sz w:val="21"/>
          <w:szCs w:val="21"/>
          <w:highlight w:val="none"/>
        </w:rPr>
      </w:pPr>
      <w:r>
        <w:rPr>
          <w:rFonts w:ascii="宋体" w:hAnsi="宋体"/>
          <w:b/>
          <w:color w:val="auto"/>
          <w:sz w:val="21"/>
          <w:szCs w:val="21"/>
          <w:highlight w:val="none"/>
        </w:rPr>
        <w:t>五、公安系统建档要求</w:t>
      </w:r>
    </w:p>
    <w:p w14:paraId="07DA28F7">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慧眼”视频的行业编码位设置“81”，在完成建设后，需按照公安“一机一档”或“一杆一档”系统的建档要求，及时完成建档工作，要求建档率100%。同时要求“慧眼”视频采集的经纬度坐标，符合东莞公安智图应用标准。</w:t>
      </w:r>
    </w:p>
    <w:p w14:paraId="11B41F50">
      <w:pPr>
        <w:pStyle w:val="42"/>
        <w:spacing w:line="360" w:lineRule="auto"/>
        <w:jc w:val="both"/>
        <w:rPr>
          <w:rFonts w:hint="default" w:ascii="宋体" w:hAnsi="宋体"/>
          <w:color w:val="auto"/>
          <w:sz w:val="21"/>
          <w:szCs w:val="21"/>
          <w:highlight w:val="none"/>
        </w:rPr>
      </w:pPr>
      <w:r>
        <w:rPr>
          <w:rFonts w:ascii="宋体" w:hAnsi="宋体"/>
          <w:b/>
          <w:color w:val="auto"/>
          <w:sz w:val="21"/>
          <w:szCs w:val="21"/>
          <w:highlight w:val="none"/>
        </w:rPr>
        <w:t>六、汇聚转发要求</w:t>
      </w:r>
    </w:p>
    <w:p w14:paraId="30B3E623">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汇聚转发模块具体包括视频汇聚转发、图片汇聚转发。</w:t>
      </w:r>
    </w:p>
    <w:p w14:paraId="09999CBE">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视频汇聚转发模块，负责视频流的转发。慧眼视频综合管理平台根据GB/T 28181国标协议与市公安局视频共享平台对接，并通过视频汇聚转发模块，实现市公安民警通过两网双平台（视频共享平台、视频监控联网平台）对慧眼视频的实时调阅及历史视频回放。</w:t>
      </w:r>
    </w:p>
    <w:p w14:paraId="4891B3BB">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图片汇聚转发模块，负责图片数据、视频专网图片数据、等数据转发。图片汇聚转发模块基于GA/T 1400标准接口将图片数据摆渡至视频专网慧眼图像解析模块。视频专网图片汇聚转发模块基于GA/T 1400标准接口将图片数据（大图URL、人脸小图）、结构化数据、特征值推送至市公安局人脸库。</w:t>
      </w:r>
    </w:p>
    <w:p w14:paraId="191CB5F4">
      <w:pPr>
        <w:pStyle w:val="42"/>
        <w:spacing w:line="360" w:lineRule="auto"/>
        <w:jc w:val="both"/>
        <w:rPr>
          <w:rFonts w:hint="default" w:ascii="宋体" w:hAnsi="宋体"/>
          <w:color w:val="auto"/>
          <w:sz w:val="21"/>
          <w:szCs w:val="21"/>
          <w:highlight w:val="none"/>
        </w:rPr>
      </w:pPr>
      <w:r>
        <w:rPr>
          <w:rFonts w:ascii="宋体" w:hAnsi="宋体"/>
          <w:b/>
          <w:color w:val="auto"/>
          <w:sz w:val="21"/>
          <w:szCs w:val="21"/>
          <w:highlight w:val="none"/>
        </w:rPr>
        <w:t>七、视图存储要求</w:t>
      </w:r>
    </w:p>
    <w:p w14:paraId="203F7BA4">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存储标准：视频数据存储30天，图片数据存储90天。</w:t>
      </w:r>
    </w:p>
    <w:p w14:paraId="0C6EA6AC">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视频存储：视频有效存储时间一般不少于30天，技防重点单位有效储存时间不少于30天。采用中标人提供的云平台服务进行后端存储，监控画面实时上传至云服务器中进存储，云平台可调取实时监控画面。同时，前端根据实际需求实现3天的SD卡数据缓存，作为网络中断应急手段。</w:t>
      </w:r>
    </w:p>
    <w:p w14:paraId="2D863239">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2、图片存储：存储时间不低于90天，图片数据存储在中标人IDC机房。市公安局“慧眼”图片管理平台对图片存储系统进行统一管理（如权限控制），并可访问石排分局采集的图片数据。</w:t>
      </w:r>
    </w:p>
    <w:p w14:paraId="5E845D95">
      <w:pPr>
        <w:pStyle w:val="42"/>
        <w:spacing w:line="360" w:lineRule="auto"/>
        <w:jc w:val="both"/>
        <w:rPr>
          <w:rFonts w:hint="default" w:ascii="宋体" w:hAnsi="宋体"/>
          <w:color w:val="auto"/>
          <w:sz w:val="21"/>
          <w:szCs w:val="21"/>
          <w:highlight w:val="none"/>
          <w:lang w:eastAsia="zh-CN"/>
        </w:rPr>
      </w:pPr>
      <w:r>
        <w:rPr>
          <w:rFonts w:ascii="宋体" w:hAnsi="宋体"/>
          <w:b/>
          <w:color w:val="auto"/>
          <w:sz w:val="21"/>
          <w:szCs w:val="21"/>
          <w:highlight w:val="none"/>
        </w:rPr>
        <w:t>八、传输网络要求</w:t>
      </w:r>
    </w:p>
    <w:p w14:paraId="08A830D5">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单路摄像机图片上传所需带宽与实际点位的部署场景有关。根据目前慧眼视频的实际应用场景，对于每路慧眼视频摄像机所需带宽资源进行分析，慧眼视频前端视频传输带宽应不少于4Mbps，视频+图片采集传输带宽应不少于10Mbps。为更好满足各方用户的使用体验，需本期建设“慧眼”视频要求同时实现治安视频、人脸抓拍两种场景, 包括视频+图片采集，传输带宽要求不少于10Mbps。</w:t>
      </w:r>
    </w:p>
    <w:p w14:paraId="1345C9B4">
      <w:pPr>
        <w:pStyle w:val="42"/>
        <w:spacing w:line="360" w:lineRule="auto"/>
        <w:jc w:val="both"/>
        <w:rPr>
          <w:rFonts w:hint="default" w:ascii="宋体" w:hAnsi="宋体"/>
          <w:color w:val="auto"/>
          <w:sz w:val="21"/>
          <w:szCs w:val="21"/>
          <w:highlight w:val="none"/>
        </w:rPr>
      </w:pPr>
      <w:r>
        <w:rPr>
          <w:rFonts w:ascii="宋体" w:hAnsi="宋体"/>
          <w:b/>
          <w:color w:val="auto"/>
          <w:sz w:val="21"/>
          <w:szCs w:val="21"/>
          <w:highlight w:val="none"/>
        </w:rPr>
        <w:t>九、运维管理要求</w:t>
      </w:r>
    </w:p>
    <w:p w14:paraId="727B8FF5">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“慧眼”维护范围主要包括摄像机、线路、平台、业务系统等。维护内容主要包含：日常维护、安全运维、故障处理、运维考核四方面。</w:t>
      </w:r>
    </w:p>
    <w:p w14:paraId="146C4667">
      <w:pPr>
        <w:pStyle w:val="42"/>
        <w:spacing w:line="360" w:lineRule="auto"/>
        <w:ind w:firstLine="480"/>
        <w:jc w:val="both"/>
        <w:rPr>
          <w:rFonts w:hint="default" w:ascii="宋体" w:hAnsi="宋体"/>
          <w:color w:val="auto"/>
          <w:sz w:val="21"/>
          <w:szCs w:val="21"/>
          <w:highlight w:val="none"/>
        </w:rPr>
      </w:pPr>
      <w:r>
        <w:rPr>
          <w:rFonts w:ascii="宋体" w:hAnsi="宋体"/>
          <w:b/>
          <w:color w:val="auto"/>
          <w:sz w:val="21"/>
          <w:szCs w:val="21"/>
          <w:highlight w:val="none"/>
        </w:rPr>
        <w:t>1、日常维护规范</w:t>
      </w:r>
    </w:p>
    <w:p w14:paraId="332E7237">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1）前端维护</w:t>
      </w:r>
    </w:p>
    <w:p w14:paraId="6E5F274A">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① 设备部分</w:t>
      </w:r>
    </w:p>
    <w:p w14:paraId="19617B6B">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由中标人各区域的前端维护人员负责运维，按照维护作业计划对摄像机维护，巡检内容包含对摄像机和网关的日常保养、维修、记录等。巡检按照要求填报《“慧眼”摄像机日常维护巡检表》。</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37"/>
        <w:gridCol w:w="1469"/>
        <w:gridCol w:w="4810"/>
      </w:tblGrid>
      <w:tr w14:paraId="15532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3DDD0C24">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b/>
                <w:color w:val="auto"/>
                <w:sz w:val="21"/>
                <w:szCs w:val="21"/>
                <w:highlight w:val="none"/>
              </w:rPr>
              <w:t>“慧眼”摄像机日常维护巡检表</w:t>
            </w:r>
          </w:p>
        </w:tc>
      </w:tr>
      <w:tr w14:paraId="15CB3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219C9E64">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b/>
                <w:color w:val="auto"/>
                <w:sz w:val="21"/>
                <w:szCs w:val="21"/>
                <w:highlight w:val="none"/>
              </w:rPr>
              <w:t>巡检内容</w:t>
            </w:r>
          </w:p>
        </w:tc>
        <w:tc>
          <w:tcPr>
            <w:tcW w:w="1469" w:type="dxa"/>
            <w:tcBorders>
              <w:bottom w:val="single" w:color="000000" w:sz="4" w:space="0"/>
              <w:right w:val="single" w:color="000000" w:sz="4" w:space="0"/>
            </w:tcBorders>
            <w:noWrap w:val="0"/>
            <w:tcMar>
              <w:top w:w="0" w:type="dxa"/>
              <w:left w:w="105" w:type="dxa"/>
              <w:bottom w:w="0" w:type="dxa"/>
              <w:right w:w="105" w:type="dxa"/>
            </w:tcMar>
            <w:vAlign w:val="top"/>
          </w:tcPr>
          <w:p w14:paraId="357586A2">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b/>
                <w:color w:val="auto"/>
                <w:sz w:val="21"/>
                <w:szCs w:val="21"/>
                <w:highlight w:val="none"/>
              </w:rPr>
              <w:t>巡检周期</w:t>
            </w:r>
          </w:p>
        </w:tc>
        <w:tc>
          <w:tcPr>
            <w:tcW w:w="4810" w:type="dxa"/>
            <w:tcBorders>
              <w:bottom w:val="single" w:color="000000" w:sz="4" w:space="0"/>
              <w:right w:val="single" w:color="000000" w:sz="4" w:space="0"/>
            </w:tcBorders>
            <w:noWrap w:val="0"/>
            <w:tcMar>
              <w:top w:w="0" w:type="dxa"/>
              <w:left w:w="105" w:type="dxa"/>
              <w:bottom w:w="0" w:type="dxa"/>
              <w:right w:w="105" w:type="dxa"/>
            </w:tcMar>
            <w:vAlign w:val="top"/>
          </w:tcPr>
          <w:p w14:paraId="1B9D044B">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b/>
                <w:color w:val="auto"/>
                <w:sz w:val="21"/>
                <w:szCs w:val="21"/>
                <w:highlight w:val="none"/>
              </w:rPr>
              <w:t>巡检要求</w:t>
            </w:r>
          </w:p>
        </w:tc>
      </w:tr>
      <w:tr w14:paraId="7F5D8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2C991EDC">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摄像机护罩定期进行清洗擦拭</w:t>
            </w:r>
          </w:p>
        </w:tc>
        <w:tc>
          <w:tcPr>
            <w:tcW w:w="1469" w:type="dxa"/>
            <w:tcBorders>
              <w:bottom w:val="single" w:color="000000" w:sz="4" w:space="0"/>
              <w:right w:val="single" w:color="000000" w:sz="4" w:space="0"/>
            </w:tcBorders>
            <w:noWrap w:val="0"/>
            <w:tcMar>
              <w:top w:w="0" w:type="dxa"/>
              <w:left w:w="105" w:type="dxa"/>
              <w:bottom w:w="0" w:type="dxa"/>
              <w:right w:w="105" w:type="dxa"/>
            </w:tcMar>
            <w:vAlign w:val="center"/>
          </w:tcPr>
          <w:p w14:paraId="25061695">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每半年不少于1次</w:t>
            </w:r>
          </w:p>
        </w:tc>
        <w:tc>
          <w:tcPr>
            <w:tcW w:w="4810" w:type="dxa"/>
            <w:tcBorders>
              <w:bottom w:val="single" w:color="000000" w:sz="4" w:space="0"/>
              <w:right w:val="single" w:color="000000" w:sz="4" w:space="0"/>
            </w:tcBorders>
            <w:noWrap w:val="0"/>
            <w:tcMar>
              <w:top w:w="0" w:type="dxa"/>
              <w:left w:w="105" w:type="dxa"/>
              <w:bottom w:w="0" w:type="dxa"/>
              <w:right w:w="105" w:type="dxa"/>
            </w:tcMar>
            <w:vAlign w:val="center"/>
          </w:tcPr>
          <w:p w14:paraId="2C28581A">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无异物遮挡、图像清晰。</w:t>
            </w:r>
          </w:p>
        </w:tc>
      </w:tr>
      <w:tr w14:paraId="30C4F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5BCB1242">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摄像机运行状态检查、调整</w:t>
            </w:r>
          </w:p>
        </w:tc>
        <w:tc>
          <w:tcPr>
            <w:tcW w:w="1469" w:type="dxa"/>
            <w:tcBorders>
              <w:bottom w:val="single" w:color="000000" w:sz="4" w:space="0"/>
              <w:right w:val="single" w:color="000000" w:sz="4" w:space="0"/>
            </w:tcBorders>
            <w:noWrap w:val="0"/>
            <w:tcMar>
              <w:top w:w="0" w:type="dxa"/>
              <w:left w:w="105" w:type="dxa"/>
              <w:bottom w:w="0" w:type="dxa"/>
              <w:right w:w="105" w:type="dxa"/>
            </w:tcMar>
            <w:vAlign w:val="center"/>
          </w:tcPr>
          <w:p w14:paraId="0DE73A18">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每半年不少于1次</w:t>
            </w:r>
          </w:p>
        </w:tc>
        <w:tc>
          <w:tcPr>
            <w:tcW w:w="4810" w:type="dxa"/>
            <w:tcBorders>
              <w:bottom w:val="single" w:color="000000" w:sz="4" w:space="0"/>
              <w:right w:val="single" w:color="000000" w:sz="4" w:space="0"/>
            </w:tcBorders>
            <w:noWrap w:val="0"/>
            <w:tcMar>
              <w:top w:w="0" w:type="dxa"/>
              <w:left w:w="105" w:type="dxa"/>
              <w:bottom w:w="0" w:type="dxa"/>
              <w:right w:w="105" w:type="dxa"/>
            </w:tcMar>
            <w:vAlign w:val="center"/>
          </w:tcPr>
          <w:p w14:paraId="18B42F6A">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摄像机视频图像在线，固定良好，指向符合要求。</w:t>
            </w:r>
          </w:p>
        </w:tc>
      </w:tr>
      <w:tr w14:paraId="6EF27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168F1736">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供电、链路线缆检查</w:t>
            </w:r>
          </w:p>
        </w:tc>
        <w:tc>
          <w:tcPr>
            <w:tcW w:w="1469" w:type="dxa"/>
            <w:tcBorders>
              <w:bottom w:val="single" w:color="000000" w:sz="4" w:space="0"/>
              <w:right w:val="single" w:color="000000" w:sz="4" w:space="0"/>
            </w:tcBorders>
            <w:noWrap w:val="0"/>
            <w:tcMar>
              <w:top w:w="0" w:type="dxa"/>
              <w:left w:w="105" w:type="dxa"/>
              <w:bottom w:w="0" w:type="dxa"/>
              <w:right w:w="105" w:type="dxa"/>
            </w:tcMar>
            <w:vAlign w:val="center"/>
          </w:tcPr>
          <w:p w14:paraId="66553203">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每半年不少于1次</w:t>
            </w:r>
          </w:p>
        </w:tc>
        <w:tc>
          <w:tcPr>
            <w:tcW w:w="4810" w:type="dxa"/>
            <w:tcBorders>
              <w:bottom w:val="single" w:color="000000" w:sz="4" w:space="0"/>
              <w:right w:val="single" w:color="000000" w:sz="4" w:space="0"/>
            </w:tcBorders>
            <w:noWrap w:val="0"/>
            <w:tcMar>
              <w:top w:w="0" w:type="dxa"/>
              <w:left w:w="105" w:type="dxa"/>
              <w:bottom w:w="0" w:type="dxa"/>
              <w:right w:w="105" w:type="dxa"/>
            </w:tcMar>
            <w:vAlign w:val="center"/>
          </w:tcPr>
          <w:p w14:paraId="4F817D5A">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绑扎固定良好，各类接触紧密可靠，线缆包皮正常，电源插头接触紧密，无强电入侵危险。</w:t>
            </w:r>
          </w:p>
        </w:tc>
      </w:tr>
      <w:tr w14:paraId="19DE0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Borders>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212F9D7B">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防雷、防水、接地</w:t>
            </w:r>
          </w:p>
        </w:tc>
        <w:tc>
          <w:tcPr>
            <w:tcW w:w="1469" w:type="dxa"/>
            <w:tcBorders>
              <w:bottom w:val="single" w:color="000000" w:sz="4" w:space="0"/>
              <w:right w:val="single" w:color="000000" w:sz="4" w:space="0"/>
            </w:tcBorders>
            <w:noWrap w:val="0"/>
            <w:tcMar>
              <w:top w:w="0" w:type="dxa"/>
              <w:left w:w="105" w:type="dxa"/>
              <w:bottom w:w="0" w:type="dxa"/>
              <w:right w:w="105" w:type="dxa"/>
            </w:tcMar>
            <w:vAlign w:val="center"/>
          </w:tcPr>
          <w:p w14:paraId="7314FD1C">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每半年不少于1次</w:t>
            </w:r>
          </w:p>
        </w:tc>
        <w:tc>
          <w:tcPr>
            <w:tcW w:w="4810" w:type="dxa"/>
            <w:tcBorders>
              <w:bottom w:val="single" w:color="000000" w:sz="4" w:space="0"/>
              <w:right w:val="single" w:color="000000" w:sz="4" w:space="0"/>
            </w:tcBorders>
            <w:noWrap w:val="0"/>
            <w:tcMar>
              <w:top w:w="0" w:type="dxa"/>
              <w:left w:w="105" w:type="dxa"/>
              <w:bottom w:w="0" w:type="dxa"/>
              <w:right w:w="105" w:type="dxa"/>
            </w:tcMar>
            <w:vAlign w:val="center"/>
          </w:tcPr>
          <w:p w14:paraId="50550EB2">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接地牢固可靠，设备无渗漏，防雷设施运行良好。</w:t>
            </w:r>
          </w:p>
        </w:tc>
      </w:tr>
      <w:tr w14:paraId="44125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7318A6B8">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标签、标识检查</w:t>
            </w:r>
          </w:p>
        </w:tc>
        <w:tc>
          <w:tcPr>
            <w:tcW w:w="1469" w:type="dxa"/>
            <w:tcBorders>
              <w:bottom w:val="single" w:color="000000" w:sz="4" w:space="0"/>
              <w:right w:val="single" w:color="000000" w:sz="4" w:space="0"/>
            </w:tcBorders>
            <w:noWrap w:val="0"/>
            <w:tcMar>
              <w:top w:w="0" w:type="dxa"/>
              <w:left w:w="105" w:type="dxa"/>
              <w:bottom w:w="0" w:type="dxa"/>
              <w:right w:w="105" w:type="dxa"/>
            </w:tcMar>
            <w:vAlign w:val="center"/>
          </w:tcPr>
          <w:p w14:paraId="0081060D">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每半年不少于1次</w:t>
            </w:r>
          </w:p>
        </w:tc>
        <w:tc>
          <w:tcPr>
            <w:tcW w:w="4810" w:type="dxa"/>
            <w:tcBorders>
              <w:bottom w:val="single" w:color="000000" w:sz="4" w:space="0"/>
              <w:right w:val="single" w:color="000000" w:sz="4" w:space="0"/>
            </w:tcBorders>
            <w:noWrap w:val="0"/>
            <w:tcMar>
              <w:top w:w="0" w:type="dxa"/>
              <w:left w:w="105" w:type="dxa"/>
              <w:bottom w:w="0" w:type="dxa"/>
              <w:right w:w="105" w:type="dxa"/>
            </w:tcMar>
            <w:vAlign w:val="center"/>
          </w:tcPr>
          <w:p w14:paraId="1DFD1B51">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标签粘贴牢固，字迹清晰</w:t>
            </w:r>
          </w:p>
        </w:tc>
      </w:tr>
      <w:tr w14:paraId="6AD90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Borders>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14:paraId="600A740C">
            <w:pPr>
              <w:pStyle w:val="42"/>
              <w:spacing w:line="360" w:lineRule="auto"/>
              <w:jc w:val="center"/>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支撑、设备箱检查</w:t>
            </w:r>
          </w:p>
        </w:tc>
        <w:tc>
          <w:tcPr>
            <w:tcW w:w="1469" w:type="dxa"/>
            <w:tcBorders>
              <w:bottom w:val="single" w:color="000000" w:sz="4" w:space="0"/>
              <w:right w:val="single" w:color="000000" w:sz="4" w:space="0"/>
            </w:tcBorders>
            <w:noWrap w:val="0"/>
            <w:tcMar>
              <w:top w:w="0" w:type="dxa"/>
              <w:left w:w="105" w:type="dxa"/>
              <w:bottom w:w="0" w:type="dxa"/>
              <w:right w:w="105" w:type="dxa"/>
            </w:tcMar>
            <w:vAlign w:val="center"/>
          </w:tcPr>
          <w:p w14:paraId="401C82E2">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每半年不少于1次</w:t>
            </w:r>
          </w:p>
        </w:tc>
        <w:tc>
          <w:tcPr>
            <w:tcW w:w="4810" w:type="dxa"/>
            <w:tcBorders>
              <w:bottom w:val="single" w:color="000000" w:sz="4" w:space="0"/>
              <w:right w:val="single" w:color="000000" w:sz="4" w:space="0"/>
            </w:tcBorders>
            <w:noWrap w:val="0"/>
            <w:tcMar>
              <w:top w:w="0" w:type="dxa"/>
              <w:left w:w="105" w:type="dxa"/>
              <w:bottom w:w="0" w:type="dxa"/>
              <w:right w:w="105" w:type="dxa"/>
            </w:tcMar>
            <w:vAlign w:val="center"/>
          </w:tcPr>
          <w:p w14:paraId="5F6AB996">
            <w:pPr>
              <w:pStyle w:val="42"/>
              <w:spacing w:line="360" w:lineRule="auto"/>
              <w:jc w:val="both"/>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设备箱、支撑固定良好，无倾斜倒伏危险。</w:t>
            </w:r>
          </w:p>
        </w:tc>
      </w:tr>
    </w:tbl>
    <w:p w14:paraId="61A144F8">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② 线路部分</w:t>
      </w:r>
    </w:p>
    <w:p w14:paraId="6D6CF2C2">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针对障碍现象查修，若是光纤问题，需及时到现场维修线路障碍，从末级OBD端口至用户端的皮纤，按照中标人流程管控处理。</w:t>
      </w:r>
    </w:p>
    <w:p w14:paraId="7A3AC059">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2）业务系统维护</w:t>
      </w:r>
    </w:p>
    <w:p w14:paraId="24AE2401">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“慧眼”项目通过运维管理系统对业务进行管控，对业务模块进行巡检维护。运维管理系统能有效管控视频在线率、图片抓拍率、数据及时率等情况，实现客户提出的各类规范设置要求。</w:t>
      </w:r>
    </w:p>
    <w:p w14:paraId="1C251607">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系统巡检和自动监测：</w:t>
      </w:r>
    </w:p>
    <w:p w14:paraId="0063F75D">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运维管理系统实现对业务系统的网络运行情况、服务模块运行情况、接口调用情况等进行巡检和自动监测，需提供完整的智能故障告警和分析功能，可对业务系统运行状态进行展示和查询。</w:t>
      </w:r>
    </w:p>
    <w:p w14:paraId="3E05E523">
      <w:pPr>
        <w:pStyle w:val="42"/>
        <w:spacing w:line="360" w:lineRule="auto"/>
        <w:ind w:firstLine="480"/>
        <w:jc w:val="both"/>
        <w:rPr>
          <w:rFonts w:hint="default" w:ascii="宋体" w:hAnsi="宋体"/>
          <w:color w:val="auto"/>
          <w:sz w:val="21"/>
          <w:szCs w:val="21"/>
          <w:highlight w:val="none"/>
        </w:rPr>
      </w:pPr>
      <w:r>
        <w:rPr>
          <w:rFonts w:ascii="宋体" w:hAnsi="宋体"/>
          <w:b/>
          <w:color w:val="auto"/>
          <w:sz w:val="21"/>
          <w:szCs w:val="21"/>
          <w:highlight w:val="none"/>
        </w:rPr>
        <w:t>2、安全运维要求</w:t>
      </w:r>
    </w:p>
    <w:p w14:paraId="1B5CEF2D">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1）维护人员安全管理</w:t>
      </w:r>
    </w:p>
    <w:p w14:paraId="62DF2053">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运维人员入职、离岗、岗位调换时要同步对相应运维账号、权限等重新做分配，进行调整或回收，做到账号实名，禁止共用账号，接触敏感信息的人员必须签署单独的保密协议。</w:t>
      </w:r>
    </w:p>
    <w:p w14:paraId="143EB0EF">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运维人员需严格按照维护规程执行维护作业计划，发现网络安全事件及时报告，并配合相关部门和人员进行事件的处理。</w:t>
      </w:r>
    </w:p>
    <w:p w14:paraId="1963B74A">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2）网络访问安全管理</w:t>
      </w:r>
    </w:p>
    <w:p w14:paraId="74AB305F">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边界安全：</w:t>
      </w:r>
    </w:p>
    <w:p w14:paraId="4D14B9AC">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根据《广东公安视频传输网网络与安全建设指导意见》关于边界区安全防护建设的要求：视频或图片数据传输到视频专网，通过安全边界确保有效隔离。</w:t>
      </w:r>
    </w:p>
    <w:p w14:paraId="4AFF4691">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3）账号安全管理</w:t>
      </w:r>
    </w:p>
    <w:p w14:paraId="491F3D1C">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① 账号开通</w:t>
      </w:r>
    </w:p>
    <w:p w14:paraId="407C0FB7">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1.运维系统：运维系统账号一般情况只对中标人维护人员开放，地市管理员拥有开通账号权限。</w:t>
      </w:r>
    </w:p>
    <w:p w14:paraId="445FE461">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2.视频平台：公众客户/中标人维护人员视频平台账号由中标人审核，公安人员视频平台账号由公安审核。分局层面为二级账号，需由中标人/公安分局审核。</w:t>
      </w:r>
    </w:p>
    <w:p w14:paraId="73686252">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3.账号开通时间：新账号及人员变更账号应在提出申请后24小时内完成账号开通。</w:t>
      </w:r>
    </w:p>
    <w:p w14:paraId="64F93D36">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② 权限分配</w:t>
      </w:r>
    </w:p>
    <w:p w14:paraId="1906DE79">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1.运维系统：分为市镇两级分权分域进行管理，域内管理员可开域内维护账号，实现域内账户分配和业务操作配置。</w:t>
      </w:r>
    </w:p>
    <w:p w14:paraId="3A0F0861">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2.视频平台：按照客户需求分配对应摄像机的观看权限，域内管理员可开域内视频观看账号。分局层面为二级账号需由中标人/公安分局审核。</w:t>
      </w:r>
    </w:p>
    <w:p w14:paraId="7B49A3C6">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③ 安全管理</w:t>
      </w:r>
    </w:p>
    <w:p w14:paraId="427C45D4">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1.登录安全：可采用手机号+验证码实名验证，或其他同等效果方式实现。同一账号不能同时登录。</w:t>
      </w:r>
    </w:p>
    <w:p w14:paraId="0FAEFED9">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2.权限管理：对运维账号权限进行严格管理，坚持权限最小化的原则。应至少每6个月审核一次运维账号与使用人以及管理权限的关联，确保一人一账号，确保账号管理权限与维护人员岗位职责相匹配。</w:t>
      </w:r>
    </w:p>
    <w:p w14:paraId="59057FD1">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3.口令复杂度管理：账号口令应符合口令复杂度要求，可采取人工管理和技术手段及时发现和处置弱口令。首次登录需强制修改默认密码。</w:t>
      </w:r>
    </w:p>
    <w:p w14:paraId="3F471023">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4.人员管理：驻点人员需保守工作秘密，在任何情况下未得到石排分局同意不得泄露任何资料，否则按国家法律追究相关法律责任，并向石排分局赔偿损失。</w:t>
      </w:r>
    </w:p>
    <w:p w14:paraId="4C05D8BE">
      <w:pPr>
        <w:pStyle w:val="42"/>
        <w:spacing w:line="360" w:lineRule="auto"/>
        <w:ind w:firstLine="480"/>
        <w:jc w:val="both"/>
        <w:rPr>
          <w:rFonts w:hint="default" w:ascii="宋体" w:hAnsi="宋体"/>
          <w:color w:val="auto"/>
          <w:sz w:val="21"/>
          <w:szCs w:val="21"/>
          <w:highlight w:val="none"/>
        </w:rPr>
      </w:pPr>
      <w:r>
        <w:rPr>
          <w:rFonts w:ascii="宋体" w:hAnsi="宋体"/>
          <w:b/>
          <w:color w:val="auto"/>
          <w:sz w:val="21"/>
          <w:szCs w:val="21"/>
          <w:highlight w:val="none"/>
        </w:rPr>
        <w:t>3、故障处理要求</w:t>
      </w:r>
    </w:p>
    <w:p w14:paraId="6D45EA0D">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1）处理原则</w:t>
      </w:r>
    </w:p>
    <w:p w14:paraId="3AFC7097">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故障处理要遵循尽可能减少业务的中断时间、尽可能地恢复业务和尽可能减少监控数据的丢失的原则。</w:t>
      </w:r>
    </w:p>
    <w:p w14:paraId="11E3D4B3">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2）报障流程</w:t>
      </w:r>
    </w:p>
    <w:p w14:paraId="6AC5BB6D">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按不同类型客户进行故障申告，对应以下两种流程：</w:t>
      </w:r>
    </w:p>
    <w:p w14:paraId="429EE4AA">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1.公众用户报障：中标人需引导用户通过公众报障电话进行故障申告，按照故障工单进行处理管控；</w:t>
      </w:r>
    </w:p>
    <w:p w14:paraId="333CA1E1">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2.公安/集体用户报障：由中标人对应的负责人对接，负责人收到故障后同步在内部故障系统进行申告，按照故障工单进行处理管控。</w:t>
      </w:r>
    </w:p>
    <w:p w14:paraId="13C3AE80">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3）处理措施</w:t>
      </w:r>
    </w:p>
    <w:p w14:paraId="0B475F72">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中标人应根据故障的严重程度和影响程度的不同，将各种系统故障和告警进行分级处理，具体处理时限根据故障级别而定。中标人必须保证优先实施业务恢复，在恢复业务的前提下，再进行彻底的故障修复。</w:t>
      </w:r>
    </w:p>
    <w:p w14:paraId="047659C2">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若故障对公安应用、公众应用、视频、图片数据等造成影响，中标人应主动向公安汇报，在故障处理过程中定期上报进展，故障处理结束后提交书面的《故障处理报告》。</w:t>
      </w:r>
    </w:p>
    <w:p w14:paraId="4C34D645">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4）修复时限</w:t>
      </w:r>
    </w:p>
    <w:p w14:paraId="716DCEAA">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除不可抗力情况外，当单个网点业务中断时，在1小时内进行响应，24小时内复通；在服务网点全部业务中断时，在12小时内复通。业务中断的开始时间以采购人申告记载并经中标人记录确认的时间为准，业务复通时间以中标人提供的故障单回单时间（经采购人确认）为准。</w:t>
      </w:r>
    </w:p>
    <w:p w14:paraId="16BE4F6E">
      <w:pPr>
        <w:pStyle w:val="42"/>
        <w:spacing w:line="360" w:lineRule="auto"/>
        <w:ind w:firstLine="480"/>
        <w:jc w:val="both"/>
        <w:rPr>
          <w:rFonts w:hint="default" w:ascii="宋体" w:hAnsi="宋体"/>
          <w:color w:val="auto"/>
          <w:sz w:val="21"/>
          <w:szCs w:val="21"/>
          <w:highlight w:val="none"/>
        </w:rPr>
      </w:pPr>
      <w:r>
        <w:rPr>
          <w:rFonts w:ascii="宋体" w:hAnsi="宋体"/>
          <w:color w:val="auto"/>
          <w:sz w:val="21"/>
          <w:szCs w:val="21"/>
          <w:highlight w:val="none"/>
        </w:rPr>
        <w:t>5）违约责任</w:t>
      </w:r>
    </w:p>
    <w:p w14:paraId="4B3C23AF">
      <w:pPr>
        <w:pStyle w:val="42"/>
        <w:spacing w:line="360" w:lineRule="auto"/>
        <w:ind w:firstLine="420" w:firstLineChars="200"/>
        <w:rPr>
          <w:rFonts w:hint="default" w:ascii="宋体" w:hAnsi="宋体"/>
          <w:color w:val="auto"/>
          <w:sz w:val="21"/>
          <w:szCs w:val="21"/>
          <w:highlight w:val="none"/>
          <w:lang w:eastAsia="zh-CN"/>
        </w:rPr>
      </w:pPr>
      <w:r>
        <w:rPr>
          <w:rFonts w:ascii="宋体" w:hAnsi="宋体"/>
          <w:color w:val="auto"/>
          <w:sz w:val="21"/>
          <w:szCs w:val="21"/>
          <w:highlight w:val="none"/>
        </w:rPr>
        <w:t>因中标人原因，导致部分点位出现故障无法按时修复，采购人可停止故障点位的租赁服务，对于故障期间造成采购人的损失由中标人承担。</w:t>
      </w:r>
    </w:p>
    <w:p w14:paraId="1394321B">
      <w:pPr>
        <w:pStyle w:val="42"/>
        <w:spacing w:line="360" w:lineRule="auto"/>
        <w:jc w:val="both"/>
        <w:rPr>
          <w:rFonts w:ascii="宋体" w:hAnsi="宋体"/>
          <w:color w:val="auto"/>
          <w:sz w:val="21"/>
          <w:szCs w:val="21"/>
          <w:highlight w:val="none"/>
          <w:lang w:eastAsia="zh-CN"/>
        </w:rPr>
      </w:pPr>
      <w:r>
        <w:rPr>
          <w:rFonts w:ascii="宋体" w:hAnsi="宋体"/>
          <w:b/>
          <w:color w:val="auto"/>
          <w:sz w:val="21"/>
          <w:szCs w:val="21"/>
          <w:highlight w:val="none"/>
        </w:rPr>
        <w:t>十、考核制度</w:t>
      </w:r>
    </w:p>
    <w:p w14:paraId="34F25F48">
      <w:pPr>
        <w:spacing w:line="360" w:lineRule="auto"/>
        <w:ind w:firstLine="420" w:firstLineChars="200"/>
        <w:rPr>
          <w:color w:val="auto"/>
          <w:highlight w:val="none"/>
        </w:rPr>
      </w:pPr>
      <w:r>
        <w:rPr>
          <w:rFonts w:hint="eastAsia"/>
          <w:color w:val="auto"/>
          <w:highlight w:val="none"/>
        </w:rPr>
        <w:t>为进一步提升石排镇公安视频图像管理以及科技信息化运维保障水平，根据上级公安部门的工作要求，分局将按照市公安局有关工作要求对各村（社区）的慧眼视频图像数据进行专项治理工作，每月检查慧眼视频数量及质量情况，将考核数据通报至村（社区），要求慧眼视频监控和慧眼人脸联网率、在线率、时钟准确率等不低于市公安局相关标准和要求，采购人将对中标人作每月进行考核（参考附件1），对考核未达90分的，每扣1分扣除1000元。连续二次或累计三次以上不达标，公安分局有权暂停相关村（社区）补助经费，并要求采购人终止合同，采购人无须赔偿中标人相关服务运营费用。</w:t>
      </w:r>
    </w:p>
    <w:p w14:paraId="1F336192">
      <w:pPr>
        <w:rPr>
          <w:rFonts w:hint="eastAsia"/>
          <w:color w:val="auto"/>
          <w:highlight w:val="none"/>
        </w:rPr>
      </w:pPr>
      <w:r>
        <w:rPr>
          <w:rFonts w:hint="eastAsia"/>
          <w:color w:val="auto"/>
          <w:highlight w:val="none"/>
        </w:rPr>
        <w:br w:type="page"/>
      </w:r>
    </w:p>
    <w:p w14:paraId="2F3B81FD">
      <w:pPr>
        <w:spacing w:line="360" w:lineRule="auto"/>
        <w:rPr>
          <w:rFonts w:hint="eastAsia"/>
          <w:color w:val="auto"/>
          <w:highlight w:val="none"/>
        </w:rPr>
      </w:pPr>
      <w:r>
        <w:rPr>
          <w:rFonts w:hint="eastAsia"/>
          <w:color w:val="auto"/>
          <w:highlight w:val="none"/>
        </w:rPr>
        <w:t>附件1：</w:t>
      </w:r>
    </w:p>
    <w:p w14:paraId="2043253D">
      <w:pPr>
        <w:adjustRightInd w:val="0"/>
        <w:snapToGrid w:val="0"/>
        <w:spacing w:line="360" w:lineRule="auto"/>
        <w:jc w:val="center"/>
        <w:rPr>
          <w:rFonts w:hint="eastAsia" w:ascii="宋体" w:hAnsi="宋体" w:cs="仿宋"/>
          <w:b/>
          <w:bCs/>
          <w:color w:val="auto"/>
          <w:spacing w:val="-2"/>
          <w:sz w:val="24"/>
          <w:highlight w:val="none"/>
        </w:rPr>
      </w:pPr>
      <w:r>
        <w:rPr>
          <w:rFonts w:hint="eastAsia" w:ascii="宋体" w:hAnsi="宋体" w:cs="仿宋"/>
          <w:b/>
          <w:bCs/>
          <w:color w:val="auto"/>
          <w:spacing w:val="-2"/>
          <w:sz w:val="24"/>
          <w:highlight w:val="none"/>
        </w:rPr>
        <w:t>石排镇“慧眼”视频运维项目考核打分表</w:t>
      </w:r>
    </w:p>
    <w:p w14:paraId="15AC5CED">
      <w:pPr>
        <w:rPr>
          <w:rFonts w:hint="eastAsia"/>
          <w:color w:val="auto"/>
          <w:szCs w:val="21"/>
          <w:highlight w:val="none"/>
        </w:rPr>
      </w:pPr>
      <w:r>
        <w:rPr>
          <w:rFonts w:hint="eastAsia" w:ascii="宋体" w:hAnsi="宋体" w:cs="宋体"/>
          <w:color w:val="auto"/>
          <w:kern w:val="0"/>
          <w:szCs w:val="21"/>
          <w:highlight w:val="none"/>
        </w:rPr>
        <w:t>考核日期：    年   月   日至     年   月   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586"/>
        <w:gridCol w:w="3104"/>
        <w:gridCol w:w="1713"/>
        <w:gridCol w:w="965"/>
      </w:tblGrid>
      <w:tr w14:paraId="08B5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42" w:type="dxa"/>
            <w:shd w:val="clear" w:color="auto" w:fill="auto"/>
            <w:noWrap w:val="0"/>
            <w:vAlign w:val="center"/>
          </w:tcPr>
          <w:p w14:paraId="3EA32404">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考核项目</w:t>
            </w:r>
          </w:p>
        </w:tc>
        <w:tc>
          <w:tcPr>
            <w:tcW w:w="1701" w:type="dxa"/>
            <w:shd w:val="clear" w:color="auto" w:fill="auto"/>
            <w:noWrap w:val="0"/>
            <w:vAlign w:val="center"/>
          </w:tcPr>
          <w:p w14:paraId="5BAF9F38">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考核内容</w:t>
            </w:r>
          </w:p>
        </w:tc>
        <w:tc>
          <w:tcPr>
            <w:tcW w:w="3402" w:type="dxa"/>
            <w:shd w:val="clear" w:color="auto" w:fill="auto"/>
            <w:noWrap w:val="0"/>
            <w:vAlign w:val="center"/>
          </w:tcPr>
          <w:p w14:paraId="058CAE90">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考核指标</w:t>
            </w:r>
          </w:p>
        </w:tc>
        <w:tc>
          <w:tcPr>
            <w:tcW w:w="1843" w:type="dxa"/>
            <w:shd w:val="clear" w:color="auto" w:fill="auto"/>
            <w:noWrap w:val="0"/>
            <w:vAlign w:val="center"/>
          </w:tcPr>
          <w:p w14:paraId="1AD37979">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考核方法</w:t>
            </w:r>
          </w:p>
        </w:tc>
        <w:tc>
          <w:tcPr>
            <w:tcW w:w="1030" w:type="dxa"/>
            <w:shd w:val="clear" w:color="auto" w:fill="auto"/>
            <w:noWrap w:val="0"/>
            <w:vAlign w:val="center"/>
          </w:tcPr>
          <w:p w14:paraId="70AB344D">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评分</w:t>
            </w:r>
          </w:p>
        </w:tc>
      </w:tr>
      <w:tr w14:paraId="6F3A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shd w:val="clear" w:color="auto" w:fill="auto"/>
            <w:noWrap w:val="0"/>
            <w:vAlign w:val="center"/>
          </w:tcPr>
          <w:p w14:paraId="415FC321">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olor w:val="auto"/>
                <w:szCs w:val="21"/>
                <w:highlight w:val="none"/>
              </w:rPr>
              <w:t>运维服务</w:t>
            </w:r>
          </w:p>
        </w:tc>
        <w:tc>
          <w:tcPr>
            <w:tcW w:w="1701" w:type="dxa"/>
            <w:shd w:val="clear" w:color="auto" w:fill="auto"/>
            <w:noWrap w:val="0"/>
            <w:vAlign w:val="center"/>
          </w:tcPr>
          <w:p w14:paraId="32E4D73B">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日巡检工作执行</w:t>
            </w:r>
          </w:p>
          <w:p w14:paraId="3E59DDFF">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(总分20分)</w:t>
            </w:r>
          </w:p>
        </w:tc>
        <w:tc>
          <w:tcPr>
            <w:tcW w:w="3402" w:type="dxa"/>
            <w:shd w:val="clear" w:color="auto" w:fill="auto"/>
            <w:noWrap w:val="0"/>
            <w:vAlign w:val="center"/>
          </w:tcPr>
          <w:p w14:paraId="0E01C326">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按运维服务要求开展每日巡检工作，包括慧眼视频在线率、</w:t>
            </w:r>
            <w:r>
              <w:rPr>
                <w:rFonts w:hint="default" w:ascii="宋体" w:hAnsi="宋体" w:eastAsia="宋体" w:cs="宋体"/>
                <w:color w:val="auto"/>
                <w:kern w:val="0"/>
                <w:szCs w:val="21"/>
                <w:highlight w:val="none"/>
                <w:lang w:val="zh-CN"/>
              </w:rPr>
              <w:t>慧眼人脸联网、时钟准确率</w:t>
            </w:r>
            <w:r>
              <w:rPr>
                <w:rFonts w:ascii="宋体" w:hAnsi="宋体" w:eastAsia="宋体" w:cs="宋体"/>
                <w:color w:val="auto"/>
                <w:kern w:val="0"/>
                <w:szCs w:val="21"/>
                <w:highlight w:val="none"/>
                <w:lang w:val="zh-CN"/>
              </w:rPr>
              <w:t>等</w:t>
            </w:r>
            <w:r>
              <w:rPr>
                <w:rFonts w:ascii="宋体" w:hAnsi="宋体" w:eastAsia="宋体" w:cs="宋体"/>
                <w:color w:val="auto"/>
                <w:kern w:val="0"/>
                <w:szCs w:val="21"/>
                <w:highlight w:val="none"/>
              </w:rPr>
              <w:t>。</w:t>
            </w:r>
          </w:p>
        </w:tc>
        <w:tc>
          <w:tcPr>
            <w:tcW w:w="1843" w:type="dxa"/>
            <w:shd w:val="clear" w:color="auto" w:fill="auto"/>
            <w:noWrap w:val="0"/>
            <w:vAlign w:val="center"/>
          </w:tcPr>
          <w:p w14:paraId="56DDE540">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03420452">
            <w:pPr>
              <w:autoSpaceDE w:val="0"/>
              <w:autoSpaceDN w:val="0"/>
              <w:adjustRightInd w:val="0"/>
              <w:spacing w:line="400" w:lineRule="exact"/>
              <w:jc w:val="center"/>
              <w:rPr>
                <w:rFonts w:ascii="宋体" w:hAnsi="宋体" w:eastAsia="宋体"/>
                <w:color w:val="auto"/>
                <w:szCs w:val="21"/>
                <w:highlight w:val="none"/>
              </w:rPr>
            </w:pPr>
          </w:p>
        </w:tc>
      </w:tr>
      <w:tr w14:paraId="5F9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1D902BD9">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1C09C655">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运维事件响应</w:t>
            </w:r>
          </w:p>
          <w:p w14:paraId="646929F9">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171F5E5B">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快速响应事件，减少对业务的影响，保持与相关人员的良好沟通，确保事件快速、准确、有效处理。</w:t>
            </w:r>
          </w:p>
        </w:tc>
        <w:tc>
          <w:tcPr>
            <w:tcW w:w="1843" w:type="dxa"/>
            <w:shd w:val="clear" w:color="auto" w:fill="auto"/>
            <w:noWrap w:val="0"/>
            <w:vAlign w:val="center"/>
          </w:tcPr>
          <w:p w14:paraId="55B374C0">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4FA3C54A">
            <w:pPr>
              <w:autoSpaceDE w:val="0"/>
              <w:autoSpaceDN w:val="0"/>
              <w:adjustRightInd w:val="0"/>
              <w:spacing w:line="400" w:lineRule="exact"/>
              <w:jc w:val="center"/>
              <w:rPr>
                <w:rFonts w:ascii="宋体" w:hAnsi="宋体" w:eastAsia="宋体"/>
                <w:color w:val="auto"/>
                <w:szCs w:val="21"/>
                <w:highlight w:val="none"/>
              </w:rPr>
            </w:pPr>
          </w:p>
        </w:tc>
      </w:tr>
      <w:tr w14:paraId="05C3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453DC279">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46236B94">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慧眼平台系统中断服务时间</w:t>
            </w:r>
          </w:p>
          <w:p w14:paraId="1FF748A2">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54035EE1">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慧眼平台中断服务时间累计超过48小时，扣1分。网络中断、宕机原因为电源、主干线路中断等非设备故障及不可抗力因素者除外）</w:t>
            </w:r>
          </w:p>
        </w:tc>
        <w:tc>
          <w:tcPr>
            <w:tcW w:w="1843" w:type="dxa"/>
            <w:shd w:val="clear" w:color="auto" w:fill="auto"/>
            <w:noWrap w:val="0"/>
            <w:vAlign w:val="center"/>
          </w:tcPr>
          <w:p w14:paraId="3330739E">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68821A10">
            <w:pPr>
              <w:autoSpaceDE w:val="0"/>
              <w:autoSpaceDN w:val="0"/>
              <w:adjustRightInd w:val="0"/>
              <w:spacing w:line="400" w:lineRule="exact"/>
              <w:jc w:val="center"/>
              <w:rPr>
                <w:rFonts w:ascii="宋体" w:hAnsi="宋体" w:eastAsia="宋体"/>
                <w:color w:val="auto"/>
                <w:szCs w:val="21"/>
                <w:highlight w:val="none"/>
              </w:rPr>
            </w:pPr>
          </w:p>
        </w:tc>
      </w:tr>
      <w:tr w14:paraId="5C9F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46F87032">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37800ACD">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日常故障处理</w:t>
            </w:r>
          </w:p>
          <w:p w14:paraId="6B307B28">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(总分20分)</w:t>
            </w:r>
          </w:p>
        </w:tc>
        <w:tc>
          <w:tcPr>
            <w:tcW w:w="3402" w:type="dxa"/>
            <w:shd w:val="clear" w:color="auto" w:fill="auto"/>
            <w:noWrap w:val="0"/>
            <w:vAlign w:val="center"/>
          </w:tcPr>
          <w:p w14:paraId="5636F30B">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供电电源损坏、摄像头照射角度偏离、画面模糊不清、障碍物遮挡、水印字幕格式不规范等日常运维故障，需按甲方要求在规定时间内完成整改。</w:t>
            </w:r>
          </w:p>
        </w:tc>
        <w:tc>
          <w:tcPr>
            <w:tcW w:w="1843" w:type="dxa"/>
            <w:shd w:val="clear" w:color="auto" w:fill="auto"/>
            <w:noWrap w:val="0"/>
            <w:vAlign w:val="center"/>
          </w:tcPr>
          <w:p w14:paraId="52ACCA70">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1C592C1E">
            <w:pPr>
              <w:autoSpaceDE w:val="0"/>
              <w:autoSpaceDN w:val="0"/>
              <w:adjustRightInd w:val="0"/>
              <w:spacing w:line="400" w:lineRule="exact"/>
              <w:jc w:val="center"/>
              <w:rPr>
                <w:rFonts w:ascii="宋体" w:hAnsi="宋体" w:eastAsia="宋体"/>
                <w:color w:val="auto"/>
                <w:szCs w:val="21"/>
                <w:highlight w:val="none"/>
              </w:rPr>
            </w:pPr>
          </w:p>
        </w:tc>
      </w:tr>
      <w:tr w14:paraId="1AAE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2E390126">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369CBED1">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服务态度</w:t>
            </w:r>
          </w:p>
          <w:p w14:paraId="5954E791">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36ED576D">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运维人员的服务态度恶劣的，每次扣1分，连续两次以上，除扣分外，可要求服务方更换运维人员。</w:t>
            </w:r>
          </w:p>
        </w:tc>
        <w:tc>
          <w:tcPr>
            <w:tcW w:w="1843" w:type="dxa"/>
            <w:shd w:val="clear" w:color="auto" w:fill="auto"/>
            <w:noWrap w:val="0"/>
            <w:vAlign w:val="center"/>
          </w:tcPr>
          <w:p w14:paraId="587C477E">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szCs w:val="21"/>
                <w:highlight w:val="none"/>
              </w:rPr>
              <w:t>以投诉的事实为考核依据。</w:t>
            </w:r>
          </w:p>
        </w:tc>
        <w:tc>
          <w:tcPr>
            <w:tcW w:w="1030" w:type="dxa"/>
            <w:shd w:val="clear" w:color="auto" w:fill="auto"/>
            <w:noWrap w:val="0"/>
            <w:vAlign w:val="center"/>
          </w:tcPr>
          <w:p w14:paraId="1274C431">
            <w:pPr>
              <w:autoSpaceDE w:val="0"/>
              <w:autoSpaceDN w:val="0"/>
              <w:adjustRightInd w:val="0"/>
              <w:spacing w:line="400" w:lineRule="exact"/>
              <w:jc w:val="center"/>
              <w:rPr>
                <w:rFonts w:ascii="宋体" w:hAnsi="宋体" w:eastAsia="宋体"/>
                <w:color w:val="auto"/>
                <w:szCs w:val="21"/>
                <w:highlight w:val="none"/>
              </w:rPr>
            </w:pPr>
          </w:p>
        </w:tc>
      </w:tr>
      <w:tr w14:paraId="4613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7036A754">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04C8B9C9">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工作配合</w:t>
            </w:r>
          </w:p>
          <w:p w14:paraId="7D60192A">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626009B7">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未能及时完成交办任务，影响有关工作开展的，每次扣1分</w:t>
            </w:r>
          </w:p>
        </w:tc>
        <w:tc>
          <w:tcPr>
            <w:tcW w:w="1843" w:type="dxa"/>
            <w:shd w:val="clear" w:color="auto" w:fill="auto"/>
            <w:noWrap w:val="0"/>
            <w:vAlign w:val="center"/>
          </w:tcPr>
          <w:p w14:paraId="116BD771">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52C7E433">
            <w:pPr>
              <w:autoSpaceDE w:val="0"/>
              <w:autoSpaceDN w:val="0"/>
              <w:adjustRightInd w:val="0"/>
              <w:spacing w:line="400" w:lineRule="exact"/>
              <w:jc w:val="center"/>
              <w:rPr>
                <w:rFonts w:ascii="宋体" w:hAnsi="宋体" w:eastAsia="宋体"/>
                <w:color w:val="auto"/>
                <w:szCs w:val="21"/>
                <w:highlight w:val="none"/>
              </w:rPr>
            </w:pPr>
          </w:p>
        </w:tc>
      </w:tr>
      <w:tr w14:paraId="5E56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6591C554">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19E5B790">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设备维护</w:t>
            </w:r>
          </w:p>
          <w:p w14:paraId="0F5D7E77">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620C5197">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确保慧眼前端视频设备的正常运行，包括摄像头、服务器等。</w:t>
            </w:r>
          </w:p>
        </w:tc>
        <w:tc>
          <w:tcPr>
            <w:tcW w:w="1843" w:type="dxa"/>
            <w:shd w:val="clear" w:color="auto" w:fill="auto"/>
            <w:noWrap w:val="0"/>
            <w:vAlign w:val="center"/>
          </w:tcPr>
          <w:p w14:paraId="2AC520DE">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7323D101">
            <w:pPr>
              <w:autoSpaceDE w:val="0"/>
              <w:autoSpaceDN w:val="0"/>
              <w:adjustRightInd w:val="0"/>
              <w:spacing w:line="400" w:lineRule="exact"/>
              <w:jc w:val="center"/>
              <w:rPr>
                <w:rFonts w:ascii="宋体" w:hAnsi="宋体" w:eastAsia="宋体"/>
                <w:color w:val="auto"/>
                <w:szCs w:val="21"/>
                <w:highlight w:val="none"/>
              </w:rPr>
            </w:pPr>
          </w:p>
        </w:tc>
      </w:tr>
      <w:tr w14:paraId="7565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7FC4D301">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2090B619">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用户支持</w:t>
            </w:r>
          </w:p>
          <w:p w14:paraId="6693E317">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48DA5840">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及时响应和解决用户的问题和反馈。</w:t>
            </w:r>
          </w:p>
        </w:tc>
        <w:tc>
          <w:tcPr>
            <w:tcW w:w="1843" w:type="dxa"/>
            <w:shd w:val="clear" w:color="auto" w:fill="auto"/>
            <w:noWrap w:val="0"/>
            <w:vAlign w:val="center"/>
          </w:tcPr>
          <w:p w14:paraId="1E58CECB">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0219FA94">
            <w:pPr>
              <w:autoSpaceDE w:val="0"/>
              <w:autoSpaceDN w:val="0"/>
              <w:adjustRightInd w:val="0"/>
              <w:spacing w:line="400" w:lineRule="exact"/>
              <w:jc w:val="center"/>
              <w:rPr>
                <w:rFonts w:ascii="宋体" w:hAnsi="宋体" w:eastAsia="宋体"/>
                <w:color w:val="auto"/>
                <w:szCs w:val="21"/>
                <w:highlight w:val="none"/>
              </w:rPr>
            </w:pPr>
          </w:p>
        </w:tc>
      </w:tr>
      <w:tr w14:paraId="60ED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center"/>
          </w:tcPr>
          <w:p w14:paraId="0077DE85">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olor w:val="auto"/>
                <w:szCs w:val="21"/>
                <w:highlight w:val="none"/>
              </w:rPr>
              <w:t>加分项</w:t>
            </w:r>
          </w:p>
        </w:tc>
        <w:tc>
          <w:tcPr>
            <w:tcW w:w="1701" w:type="dxa"/>
            <w:shd w:val="clear" w:color="auto" w:fill="auto"/>
            <w:noWrap w:val="0"/>
            <w:vAlign w:val="center"/>
          </w:tcPr>
          <w:p w14:paraId="267F0A95">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日常运维及重大安保期间表现</w:t>
            </w:r>
          </w:p>
        </w:tc>
        <w:tc>
          <w:tcPr>
            <w:tcW w:w="3402" w:type="dxa"/>
            <w:shd w:val="clear" w:color="auto" w:fill="auto"/>
            <w:noWrap w:val="0"/>
            <w:vAlign w:val="center"/>
          </w:tcPr>
          <w:p w14:paraId="39377576">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在日常运维期间，运维人员工作表现良好，能够按照甲方要求，主动增派力量，态度端正、不推诿，积极协调前后端资源解决并最终及时处理故障的，加1-5分/次。</w:t>
            </w:r>
          </w:p>
        </w:tc>
        <w:tc>
          <w:tcPr>
            <w:tcW w:w="1843" w:type="dxa"/>
            <w:shd w:val="clear" w:color="auto" w:fill="auto"/>
            <w:noWrap w:val="0"/>
            <w:vAlign w:val="center"/>
          </w:tcPr>
          <w:p w14:paraId="386FBD1E">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由甲方根据乙方表现程度酌情加分</w:t>
            </w:r>
          </w:p>
        </w:tc>
        <w:tc>
          <w:tcPr>
            <w:tcW w:w="1030" w:type="dxa"/>
            <w:shd w:val="clear" w:color="auto" w:fill="auto"/>
            <w:noWrap w:val="0"/>
            <w:vAlign w:val="center"/>
          </w:tcPr>
          <w:p w14:paraId="70F6E5B3">
            <w:pPr>
              <w:autoSpaceDE w:val="0"/>
              <w:autoSpaceDN w:val="0"/>
              <w:adjustRightInd w:val="0"/>
              <w:spacing w:line="400" w:lineRule="exact"/>
              <w:jc w:val="center"/>
              <w:rPr>
                <w:rFonts w:ascii="宋体" w:hAnsi="宋体" w:eastAsia="宋体"/>
                <w:color w:val="auto"/>
                <w:szCs w:val="21"/>
                <w:highlight w:val="none"/>
              </w:rPr>
            </w:pPr>
          </w:p>
        </w:tc>
      </w:tr>
      <w:tr w14:paraId="398F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88" w:type="dxa"/>
            <w:gridSpan w:val="4"/>
            <w:shd w:val="clear" w:color="auto" w:fill="auto"/>
            <w:noWrap w:val="0"/>
            <w:vAlign w:val="center"/>
          </w:tcPr>
          <w:p w14:paraId="104ACCBD">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cs="宋体"/>
                <w:b/>
                <w:bCs/>
                <w:color w:val="auto"/>
                <w:kern w:val="0"/>
                <w:szCs w:val="21"/>
                <w:highlight w:val="none"/>
              </w:rPr>
              <w:t>综合得分</w:t>
            </w:r>
          </w:p>
        </w:tc>
        <w:tc>
          <w:tcPr>
            <w:tcW w:w="1030" w:type="dxa"/>
            <w:shd w:val="clear" w:color="auto" w:fill="auto"/>
            <w:noWrap w:val="0"/>
            <w:vAlign w:val="center"/>
          </w:tcPr>
          <w:p w14:paraId="60BDDE66">
            <w:pPr>
              <w:autoSpaceDE w:val="0"/>
              <w:autoSpaceDN w:val="0"/>
              <w:adjustRightInd w:val="0"/>
              <w:spacing w:line="400" w:lineRule="exact"/>
              <w:jc w:val="center"/>
              <w:rPr>
                <w:rFonts w:ascii="宋体" w:hAnsi="宋体" w:eastAsia="宋体"/>
                <w:color w:val="auto"/>
                <w:szCs w:val="21"/>
                <w:highlight w:val="none"/>
              </w:rPr>
            </w:pPr>
          </w:p>
        </w:tc>
      </w:tr>
    </w:tbl>
    <w:p w14:paraId="1E0A78EE">
      <w:pPr>
        <w:spacing w:line="400" w:lineRule="exact"/>
        <w:rPr>
          <w:rFonts w:ascii="宋体" w:hAnsi="宋体"/>
          <w:color w:val="auto"/>
          <w:szCs w:val="21"/>
          <w:highlight w:val="none"/>
        </w:rPr>
      </w:pPr>
      <w:r>
        <w:rPr>
          <w:rFonts w:hint="eastAsia" w:ascii="宋体" w:hAnsi="宋体"/>
          <w:color w:val="auto"/>
          <w:szCs w:val="21"/>
          <w:highlight w:val="none"/>
        </w:rPr>
        <w:t>考核村（社区）：                考核人员：                日期：     年   月  日</w:t>
      </w:r>
    </w:p>
    <w:p w14:paraId="5516787A">
      <w:pPr>
        <w:spacing w:line="400" w:lineRule="exact"/>
        <w:rPr>
          <w:rFonts w:ascii="宋体" w:hAnsi="宋体"/>
          <w:color w:val="auto"/>
          <w:szCs w:val="21"/>
          <w:highlight w:val="none"/>
        </w:rPr>
      </w:pPr>
    </w:p>
    <w:p w14:paraId="6D00E561">
      <w:pPr>
        <w:spacing w:line="400" w:lineRule="exact"/>
        <w:rPr>
          <w:rFonts w:hint="eastAsia" w:ascii="宋体" w:hAnsi="宋体"/>
          <w:color w:val="auto"/>
          <w:szCs w:val="21"/>
          <w:highlight w:val="none"/>
        </w:rPr>
      </w:pPr>
      <w:r>
        <w:rPr>
          <w:rFonts w:hint="eastAsia" w:ascii="宋体" w:hAnsi="宋体"/>
          <w:color w:val="auto"/>
          <w:szCs w:val="21"/>
          <w:highlight w:val="none"/>
        </w:rPr>
        <w:t>注：综合检查得分在90分以上的（含90分）为达标。</w:t>
      </w:r>
    </w:p>
    <w:p w14:paraId="0EF75DD1">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p>
    <w:p w14:paraId="5D43F3C2">
      <w:pPr>
        <w:pStyle w:val="8"/>
        <w:rPr>
          <w:rFonts w:hint="eastAsia"/>
          <w:color w:val="auto"/>
          <w:highlight w:val="none"/>
          <w:lang w:val="zh-CN"/>
        </w:rPr>
      </w:pPr>
    </w:p>
    <w:p w14:paraId="0B6ABB15">
      <w:pPr>
        <w:pStyle w:val="8"/>
        <w:rPr>
          <w:rFonts w:hint="eastAsia"/>
          <w:color w:val="auto"/>
          <w:highlight w:val="none"/>
          <w:lang w:val="zh-CN"/>
        </w:rPr>
      </w:pPr>
    </w:p>
    <w:p w14:paraId="7C422D20">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说明</w:t>
      </w:r>
      <w:r>
        <w:rPr>
          <w:rFonts w:hint="eastAsia" w:ascii="宋体" w:hAnsi="宋体" w:eastAsia="宋体" w:cs="宋体"/>
          <w:b/>
          <w:bCs/>
          <w:color w:val="auto"/>
          <w:kern w:val="0"/>
          <w:sz w:val="21"/>
          <w:szCs w:val="21"/>
          <w:highlight w:val="none"/>
          <w:lang w:val="en-US" w:eastAsia="zh-CN" w:bidi="zh-CN"/>
        </w:rPr>
        <w:t>:1、</w:t>
      </w:r>
      <w:r>
        <w:rPr>
          <w:rFonts w:hint="eastAsia" w:ascii="宋体" w:hAnsi="宋体" w:eastAsia="宋体" w:cs="宋体"/>
          <w:b/>
          <w:bCs/>
          <w:color w:val="auto"/>
          <w:kern w:val="0"/>
          <w:sz w:val="21"/>
          <w:szCs w:val="21"/>
          <w:highlight w:val="none"/>
          <w:lang w:val="zh-CN" w:bidi="zh-CN"/>
        </w:rPr>
        <w:t>打“★”号条款为实质性条款，若有任何一条负偏离或不满足则导致投标（响应）无效。</w:t>
      </w:r>
    </w:p>
    <w:p w14:paraId="5D797F27">
      <w:pPr>
        <w:pStyle w:val="8"/>
        <w:keepNext w:val="0"/>
        <w:keepLines w:val="0"/>
        <w:pageBreakBefore w:val="0"/>
        <w:widowControl w:val="0"/>
        <w:kinsoku/>
        <w:wordWrap/>
        <w:overflowPunct/>
        <w:topLinePunct w:val="0"/>
        <w:bidi w:val="0"/>
        <w:adjustRightInd/>
        <w:snapToGrid/>
        <w:spacing w:before="0" w:line="360" w:lineRule="auto"/>
        <w:ind w:left="638" w:leftChars="304" w:firstLine="0" w:firstLineChars="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en-US" w:eastAsia="zh-CN" w:bidi="zh-CN"/>
        </w:rPr>
        <w:t>2、</w:t>
      </w:r>
      <w:r>
        <w:rPr>
          <w:rFonts w:hint="eastAsia" w:ascii="宋体" w:hAnsi="宋体" w:eastAsia="宋体" w:cs="宋体"/>
          <w:b/>
          <w:bCs/>
          <w:color w:val="auto"/>
          <w:kern w:val="0"/>
          <w:sz w:val="21"/>
          <w:szCs w:val="21"/>
          <w:highlight w:val="none"/>
          <w:lang w:val="zh-CN" w:bidi="zh-CN"/>
        </w:rPr>
        <w:t>打“▲”号条款为重要技术参数（如有），若有部分“▲”条款未响应或不满足，将根据评审要求影响其得分，但不作为无效投标（响应）条款。</w:t>
      </w:r>
    </w:p>
    <w:p w14:paraId="07BC969B">
      <w:pPr>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br w:type="page"/>
      </w:r>
    </w:p>
    <w:p w14:paraId="4EC0F653">
      <w:pPr>
        <w:pStyle w:val="2"/>
        <w:numPr>
          <w:ilvl w:val="0"/>
          <w:numId w:val="2"/>
        </w:numPr>
        <w:bidi w:val="0"/>
        <w:ind w:left="0" w:leftChars="0" w:firstLine="0" w:firstLineChars="0"/>
        <w:rPr>
          <w:rFonts w:hint="eastAsia"/>
          <w:color w:val="auto"/>
          <w:highlight w:val="none"/>
          <w:lang w:val="en-US" w:eastAsia="zh-CN"/>
        </w:rPr>
      </w:pPr>
      <w:bookmarkStart w:id="224" w:name="_Toc29929"/>
      <w:r>
        <w:rPr>
          <w:rFonts w:hint="eastAsia"/>
          <w:color w:val="auto"/>
          <w:highlight w:val="none"/>
          <w:lang w:val="en-US" w:eastAsia="zh-CN"/>
        </w:rPr>
        <w:t>详细评审</w:t>
      </w:r>
      <w:bookmarkEnd w:id="224"/>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14:paraId="1360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0765E98">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4F67DC8B">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55D98BE6">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90C3001">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224B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75639638">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50分</w:t>
            </w:r>
            <w:r>
              <w:rPr>
                <w:rFonts w:hint="eastAsia" w:ascii="宋体" w:eastAsia="宋体" w:cs="宋体"/>
                <w:b/>
                <w:bCs/>
                <w:color w:val="auto"/>
                <w:sz w:val="21"/>
                <w:szCs w:val="21"/>
                <w:highlight w:val="none"/>
                <w:lang w:eastAsia="zh-CN"/>
              </w:rPr>
              <w:t>）</w:t>
            </w:r>
          </w:p>
        </w:tc>
      </w:tr>
      <w:tr w14:paraId="5589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68CBCE78">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14:paraId="41EF9BE4">
            <w:pPr>
              <w:pStyle w:val="41"/>
              <w:pageBreakBefore w:val="0"/>
              <w:kinsoku/>
              <w:wordWrap/>
              <w:overflowPunct/>
              <w:topLinePunct w:val="0"/>
              <w:autoSpaceDE/>
              <w:autoSpaceDN/>
              <w:bidi w:val="0"/>
              <w:adjustRightInd/>
              <w:spacing w:after="0" w:afterLines="0" w:line="36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ascii="宋体" w:hAnsi="宋体"/>
                <w:color w:val="auto"/>
                <w:sz w:val="21"/>
                <w:szCs w:val="21"/>
                <w:highlight w:val="none"/>
              </w:rPr>
              <w:t>企业认证</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177B3529">
            <w:pPr>
              <w:pStyle w:val="26"/>
              <w:keepNext w:val="0"/>
              <w:keepLines w:val="0"/>
              <w:pageBreakBefore w:val="0"/>
              <w:kinsoku/>
              <w:wordWrap/>
              <w:overflowPunct/>
              <w:topLinePunct w:val="0"/>
              <w:autoSpaceDE/>
              <w:autoSpaceDN/>
              <w:bidi w:val="0"/>
              <w:adjustRightInd/>
              <w:spacing w:after="0" w:line="36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67E37B2A">
            <w:pPr>
              <w:pageBreakBefore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ascii="宋体" w:hAnsi="宋体" w:cs="宋体"/>
                <w:color w:val="auto"/>
                <w:szCs w:val="21"/>
                <w:highlight w:val="none"/>
              </w:rPr>
              <w:t>（含其上级总公司或分支机构）具有由国家认证认可监督管理部门批准设立的认证机构颁发并在有效期内的以下认证证书：</w:t>
            </w:r>
          </w:p>
          <w:p w14:paraId="15B44757">
            <w:pPr>
              <w:pageBreakBefore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w:t>
            </w:r>
            <w:r>
              <w:rPr>
                <w:color w:val="auto"/>
                <w:highlight w:val="none"/>
              </w:rPr>
              <w:t>隐私信息管理体系认证证书</w:t>
            </w:r>
            <w:r>
              <w:rPr>
                <w:rFonts w:ascii="宋体" w:hAnsi="宋体" w:cs="宋体"/>
                <w:color w:val="auto"/>
                <w:szCs w:val="21"/>
                <w:highlight w:val="none"/>
              </w:rPr>
              <w:t>；</w:t>
            </w:r>
          </w:p>
          <w:p w14:paraId="0B26DEF3">
            <w:pPr>
              <w:pageBreakBefore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color w:val="auto"/>
                <w:highlight w:val="none"/>
              </w:rPr>
              <w:t>售后服务认证证书</w:t>
            </w:r>
            <w:r>
              <w:rPr>
                <w:rFonts w:ascii="宋体" w:hAnsi="宋体" w:cs="宋体"/>
                <w:color w:val="auto"/>
                <w:szCs w:val="21"/>
                <w:highlight w:val="none"/>
              </w:rPr>
              <w:t>；</w:t>
            </w:r>
          </w:p>
          <w:p w14:paraId="2CC43A5E">
            <w:pPr>
              <w:pageBreakBefore w:val="0"/>
              <w:kinsoku/>
              <w:wordWrap/>
              <w:overflowPunct/>
              <w:topLinePunct w:val="0"/>
              <w:autoSpaceDE/>
              <w:autoSpaceDN/>
              <w:bidi w:val="0"/>
              <w:adjustRightInd/>
              <w:spacing w:line="360" w:lineRule="auto"/>
              <w:textAlignment w:val="auto"/>
              <w:rPr>
                <w:rFonts w:ascii="宋体" w:hAnsi="宋体" w:cs="宋体"/>
                <w:color w:val="auto"/>
                <w:szCs w:val="21"/>
                <w:highlight w:val="none"/>
              </w:rPr>
            </w:pPr>
            <w:r>
              <w:rPr>
                <w:rFonts w:ascii="宋体" w:hAnsi="宋体" w:cs="宋体"/>
                <w:color w:val="auto"/>
                <w:szCs w:val="21"/>
                <w:highlight w:val="none"/>
              </w:rPr>
              <w:t>每提供一个证书得</w:t>
            </w:r>
            <w:r>
              <w:rPr>
                <w:rFonts w:hint="eastAsia" w:ascii="宋体" w:hAnsi="宋体" w:cs="宋体"/>
                <w:color w:val="auto"/>
                <w:szCs w:val="21"/>
                <w:highlight w:val="none"/>
                <w:lang w:val="en-US" w:eastAsia="zh-CN"/>
              </w:rPr>
              <w:t>5</w:t>
            </w:r>
            <w:r>
              <w:rPr>
                <w:rFonts w:ascii="宋体" w:hAnsi="宋体" w:cs="宋体"/>
                <w:color w:val="auto"/>
                <w:szCs w:val="21"/>
                <w:highlight w:val="none"/>
              </w:rPr>
              <w:t>分，最高得10分。</w:t>
            </w:r>
          </w:p>
          <w:p w14:paraId="60289B44">
            <w:pPr>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lang w:val="zh-CN" w:eastAsia="zh-CN"/>
              </w:rPr>
            </w:pPr>
            <w:r>
              <w:rPr>
                <w:rFonts w:ascii="宋体" w:hAnsi="宋体" w:cs="宋体"/>
                <w:color w:val="auto"/>
                <w:szCs w:val="21"/>
                <w:highlight w:val="none"/>
              </w:rPr>
              <w:t>（注：</w:t>
            </w:r>
            <w:r>
              <w:rPr>
                <w:rFonts w:ascii="宋体" w:hAnsi="宋体"/>
                <w:color w:val="auto"/>
                <w:kern w:val="0"/>
                <w:szCs w:val="21"/>
                <w:highlight w:val="none"/>
              </w:rPr>
              <w:t>须</w:t>
            </w:r>
            <w:r>
              <w:rPr>
                <w:rFonts w:ascii="宋体" w:hAnsi="宋体" w:cs="宋体"/>
                <w:color w:val="auto"/>
                <w:szCs w:val="21"/>
                <w:highlight w:val="none"/>
              </w:rPr>
              <w:t>提供相关证书复印件并加盖</w:t>
            </w:r>
            <w:r>
              <w:rPr>
                <w:rFonts w:hint="eastAsia" w:ascii="宋体" w:hAnsi="宋体" w:cs="宋体"/>
                <w:color w:val="auto"/>
                <w:szCs w:val="21"/>
                <w:highlight w:val="none"/>
                <w:lang w:eastAsia="zh-CN"/>
              </w:rPr>
              <w:t>供应商</w:t>
            </w:r>
            <w:r>
              <w:rPr>
                <w:rFonts w:ascii="宋体" w:hAnsi="宋体" w:cs="宋体"/>
                <w:color w:val="auto"/>
                <w:szCs w:val="21"/>
                <w:highlight w:val="none"/>
              </w:rPr>
              <w:t>公章）</w:t>
            </w:r>
          </w:p>
        </w:tc>
      </w:tr>
      <w:tr w14:paraId="0765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7CFCD032">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14:paraId="0561C257">
            <w:pPr>
              <w:pStyle w:val="41"/>
              <w:pageBreakBefore w:val="0"/>
              <w:kinsoku/>
              <w:wordWrap/>
              <w:overflowPunct/>
              <w:topLinePunct w:val="0"/>
              <w:autoSpaceDE/>
              <w:autoSpaceDN/>
              <w:bidi w:val="0"/>
              <w:adjustRightInd/>
              <w:spacing w:after="0" w:afterLines="0" w:line="360" w:lineRule="auto"/>
              <w:ind w:firstLine="0" w:firstLineChars="0"/>
              <w:jc w:val="center"/>
              <w:textAlignment w:val="auto"/>
              <w:rPr>
                <w:rFonts w:hint="eastAsia" w:ascii="宋体" w:hAnsi="宋体" w:eastAsia="宋体" w:cs="宋体"/>
                <w:color w:val="auto"/>
                <w:sz w:val="21"/>
                <w:szCs w:val="21"/>
                <w:highlight w:val="none"/>
              </w:rPr>
            </w:pPr>
            <w:r>
              <w:rPr>
                <w:rFonts w:ascii="宋体" w:hAnsi="宋体"/>
                <w:color w:val="auto"/>
                <w:sz w:val="21"/>
                <w:szCs w:val="21"/>
                <w:highlight w:val="none"/>
              </w:rPr>
              <w:t>同类项目业绩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14D022F2">
            <w:pPr>
              <w:pStyle w:val="16"/>
              <w:pageBreakBefore w:val="0"/>
              <w:kinsoku/>
              <w:wordWrap/>
              <w:overflowPunct/>
              <w:topLinePunct w:val="0"/>
              <w:autoSpaceDE/>
              <w:autoSpaceDN/>
              <w:bidi w:val="0"/>
              <w:adjustRightInd/>
              <w:spacing w:beforeAutospacing="0" w:after="0" w:afterAutospacing="0" w:line="360" w:lineRule="auto"/>
              <w:ind w:left="0" w:leftChars="0" w:right="0" w:right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59B87DBE">
            <w:pPr>
              <w:pageBreakBefore w:val="0"/>
              <w:kinsoku/>
              <w:wordWrap/>
              <w:overflowPunct/>
              <w:topLinePunct w:val="0"/>
              <w:autoSpaceDE/>
              <w:autoSpaceDN/>
              <w:bidi w:val="0"/>
              <w:adjustRightInd/>
              <w:spacing w:line="360" w:lineRule="auto"/>
              <w:textAlignment w:val="auto"/>
              <w:rPr>
                <w:rFonts w:ascii="宋体" w:hAnsi="宋体" w:cs="宋体"/>
                <w:bCs/>
                <w:color w:val="auto"/>
                <w:szCs w:val="21"/>
                <w:highlight w:val="none"/>
                <w:lang w:val="zh-CN"/>
              </w:rPr>
            </w:pPr>
            <w:r>
              <w:rPr>
                <w:rFonts w:hint="eastAsia" w:ascii="宋体" w:hAnsi="宋体" w:cs="宋体"/>
                <w:bCs/>
                <w:color w:val="auto"/>
                <w:szCs w:val="21"/>
                <w:highlight w:val="none"/>
                <w:lang w:val="zh-CN"/>
              </w:rPr>
              <w:t>供应商</w:t>
            </w:r>
            <w:r>
              <w:rPr>
                <w:rFonts w:ascii="宋体" w:hAnsi="宋体" w:cs="宋体"/>
                <w:color w:val="auto"/>
                <w:szCs w:val="21"/>
                <w:highlight w:val="none"/>
              </w:rPr>
              <w:t>（含其上级总公司或分支机构）</w:t>
            </w:r>
            <w:r>
              <w:rPr>
                <w:color w:val="auto"/>
                <w:highlight w:val="none"/>
              </w:rPr>
              <w:t>至今承接过的慧眼类或视频监控类或交通信号灯类或电子警察类</w:t>
            </w:r>
            <w:r>
              <w:rPr>
                <w:rFonts w:ascii="宋体" w:hAnsi="宋体" w:cs="宋体"/>
                <w:bCs/>
                <w:color w:val="auto"/>
                <w:szCs w:val="21"/>
                <w:highlight w:val="none"/>
                <w:lang w:val="zh-CN"/>
              </w:rPr>
              <w:t>同类项目业绩，每提供一个符合要求的业绩得3分，最高得15分。</w:t>
            </w:r>
          </w:p>
          <w:p w14:paraId="5764BC31">
            <w:pPr>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lang w:val="zh-CN"/>
              </w:rPr>
            </w:pPr>
            <w:r>
              <w:rPr>
                <w:rFonts w:ascii="宋体" w:hAnsi="宋体" w:cs="宋体"/>
                <w:bCs/>
                <w:color w:val="auto"/>
                <w:szCs w:val="21"/>
                <w:highlight w:val="none"/>
                <w:lang w:val="zh-CN"/>
              </w:rPr>
              <w:t>【注：须提供合同复印件（</w:t>
            </w:r>
            <w:r>
              <w:rPr>
                <w:color w:val="auto"/>
                <w:highlight w:val="none"/>
              </w:rPr>
              <w:t>包含：合同双方名称、关键采购内容、盖章签署</w:t>
            </w:r>
            <w:r>
              <w:rPr>
                <w:rFonts w:ascii="宋体" w:hAnsi="宋体" w:cs="宋体"/>
                <w:bCs/>
                <w:color w:val="auto"/>
                <w:szCs w:val="21"/>
                <w:highlight w:val="none"/>
                <w:lang w:val="zh-CN"/>
              </w:rPr>
              <w:t>）并加盖</w:t>
            </w:r>
            <w:r>
              <w:rPr>
                <w:rFonts w:hint="eastAsia" w:ascii="宋体" w:hAnsi="宋体" w:cs="宋体"/>
                <w:bCs/>
                <w:color w:val="auto"/>
                <w:szCs w:val="21"/>
                <w:highlight w:val="none"/>
                <w:lang w:val="zh-CN"/>
              </w:rPr>
              <w:t>供应商</w:t>
            </w:r>
            <w:r>
              <w:rPr>
                <w:rFonts w:ascii="宋体" w:hAnsi="宋体" w:cs="宋体"/>
                <w:bCs/>
                <w:color w:val="auto"/>
                <w:szCs w:val="21"/>
                <w:highlight w:val="none"/>
                <w:lang w:val="zh-CN"/>
              </w:rPr>
              <w:t>公章】</w:t>
            </w:r>
          </w:p>
        </w:tc>
      </w:tr>
      <w:tr w14:paraId="5EEA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2D409A99">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right w:val="single" w:color="auto" w:sz="4" w:space="0"/>
            </w:tcBorders>
            <w:noWrap w:val="0"/>
            <w:vAlign w:val="center"/>
          </w:tcPr>
          <w:p w14:paraId="29402430">
            <w:pPr>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 w:val="21"/>
                <w:szCs w:val="21"/>
                <w:highlight w:val="none"/>
              </w:rPr>
            </w:pPr>
            <w:r>
              <w:rPr>
                <w:rFonts w:ascii="宋体" w:hAnsi="宋体"/>
                <w:color w:val="auto"/>
                <w:szCs w:val="21"/>
                <w:highlight w:val="none"/>
              </w:rPr>
              <w:t>拟投入项目经理情况</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136857FF">
            <w:pPr>
              <w:pStyle w:val="16"/>
              <w:pageBreakBefore w:val="0"/>
              <w:kinsoku/>
              <w:wordWrap/>
              <w:overflowPunct/>
              <w:topLinePunct w:val="0"/>
              <w:autoSpaceDE/>
              <w:autoSpaceDN/>
              <w:bidi w:val="0"/>
              <w:adjustRightInd/>
              <w:spacing w:beforeAutospacing="0" w:after="0" w:afterAutospacing="0" w:line="360" w:lineRule="auto"/>
              <w:ind w:left="0" w:leftChars="0" w:right="0" w:righ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988AD9B">
            <w:pPr>
              <w:pageBreakBefore w:val="0"/>
              <w:kinsoku/>
              <w:wordWrap/>
              <w:overflowPunct/>
              <w:topLinePunct w:val="0"/>
              <w:autoSpaceDE/>
              <w:autoSpaceDN/>
              <w:bidi w:val="0"/>
              <w:adjustRightInd/>
              <w:spacing w:line="360" w:lineRule="auto"/>
              <w:textAlignment w:val="auto"/>
              <w:rPr>
                <w:rFonts w:ascii="宋体" w:hAnsi="宋体"/>
                <w:bCs/>
                <w:color w:val="auto"/>
                <w:szCs w:val="21"/>
                <w:highlight w:val="none"/>
              </w:rPr>
            </w:pPr>
            <w:r>
              <w:rPr>
                <w:rFonts w:hint="eastAsia" w:ascii="宋体" w:hAnsi="宋体"/>
                <w:bCs/>
                <w:color w:val="auto"/>
                <w:szCs w:val="21"/>
                <w:highlight w:val="none"/>
                <w:lang w:eastAsia="zh-CN"/>
              </w:rPr>
              <w:t>供应商</w:t>
            </w:r>
            <w:r>
              <w:rPr>
                <w:rFonts w:ascii="宋体" w:hAnsi="宋体"/>
                <w:bCs/>
                <w:color w:val="auto"/>
                <w:szCs w:val="21"/>
                <w:highlight w:val="none"/>
              </w:rPr>
              <w:t>拟投入本项目的项目经理（仅一人）进行评审：</w:t>
            </w:r>
          </w:p>
          <w:p w14:paraId="4930B73C">
            <w:pPr>
              <w:keepNext/>
              <w:keepLines/>
              <w:pageBreakBefore w:val="0"/>
              <w:numPr>
                <w:ilvl w:val="2"/>
                <w:numId w:val="0"/>
              </w:numPr>
              <w:shd w:val="clear" w:color="auto" w:fill="FFFFFF"/>
              <w:kinsoku/>
              <w:wordWrap/>
              <w:overflowPunct/>
              <w:topLinePunct w:val="0"/>
              <w:autoSpaceDE/>
              <w:autoSpaceDN/>
              <w:bidi w:val="0"/>
              <w:adjustRightInd/>
              <w:spacing w:line="360" w:lineRule="auto"/>
              <w:textAlignment w:val="auto"/>
              <w:outlineLvl w:val="2"/>
              <w:rPr>
                <w:rFonts w:ascii="宋体" w:hAnsi="宋体"/>
                <w:color w:val="auto"/>
                <w:szCs w:val="21"/>
                <w:highlight w:val="none"/>
              </w:rPr>
            </w:pPr>
            <w:r>
              <w:rPr>
                <w:rFonts w:ascii="宋体" w:hAnsi="宋体"/>
                <w:color w:val="auto"/>
                <w:szCs w:val="21"/>
                <w:highlight w:val="none"/>
              </w:rPr>
              <w:t>（1）具有由人</w:t>
            </w:r>
            <w:r>
              <w:rPr>
                <w:color w:val="auto"/>
                <w:highlight w:val="none"/>
              </w:rPr>
              <w:fldChar w:fldCharType="begin"/>
            </w:r>
            <w:r>
              <w:rPr>
                <w:color w:val="auto"/>
                <w:highlight w:val="none"/>
              </w:rPr>
              <w:instrText xml:space="preserve"> HYPERLINK "http://www.baidu.com/link?url=kDmTOlv_AnGx5KLkwYg195-ziQdpscnEzO9Z2U206mRxAa4U2VbaiQE6Mter8iSl" \t "_blank" </w:instrText>
            </w:r>
            <w:r>
              <w:rPr>
                <w:color w:val="auto"/>
                <w:highlight w:val="none"/>
              </w:rPr>
              <w:fldChar w:fldCharType="separate"/>
            </w:r>
            <w:r>
              <w:rPr>
                <w:rFonts w:ascii="宋体" w:hAnsi="宋体"/>
                <w:color w:val="auto"/>
                <w:szCs w:val="21"/>
                <w:highlight w:val="none"/>
              </w:rPr>
              <w:t>力资源和社会保障部</w:t>
            </w:r>
            <w:r>
              <w:rPr>
                <w:rFonts w:ascii="宋体" w:hAnsi="宋体"/>
                <w:color w:val="auto"/>
                <w:szCs w:val="21"/>
                <w:highlight w:val="none"/>
              </w:rPr>
              <w:fldChar w:fldCharType="end"/>
            </w:r>
            <w:r>
              <w:rPr>
                <w:rFonts w:ascii="宋体" w:hAnsi="宋体"/>
                <w:color w:val="auto"/>
                <w:szCs w:val="21"/>
                <w:highlight w:val="none"/>
                <w:lang w:val="zh-CN"/>
              </w:rPr>
              <w:t>门（含原人事部门）或工业和信息化部门（含原信产部）</w:t>
            </w:r>
            <w:r>
              <w:rPr>
                <w:rFonts w:ascii="宋体" w:hAnsi="宋体"/>
                <w:color w:val="auto"/>
                <w:szCs w:val="21"/>
                <w:highlight w:val="none"/>
              </w:rPr>
              <w:t>颁发的系统分析师证书；</w:t>
            </w:r>
          </w:p>
          <w:p w14:paraId="2209F9A6">
            <w:pPr>
              <w:keepNext/>
              <w:keepLines/>
              <w:pageBreakBefore w:val="0"/>
              <w:numPr>
                <w:ilvl w:val="2"/>
                <w:numId w:val="0"/>
              </w:numPr>
              <w:shd w:val="clear" w:color="auto" w:fill="FFFFFF"/>
              <w:kinsoku/>
              <w:wordWrap/>
              <w:overflowPunct/>
              <w:topLinePunct w:val="0"/>
              <w:autoSpaceDE/>
              <w:autoSpaceDN/>
              <w:bidi w:val="0"/>
              <w:adjustRightInd/>
              <w:spacing w:line="360" w:lineRule="auto"/>
              <w:textAlignment w:val="auto"/>
              <w:outlineLvl w:val="2"/>
              <w:rPr>
                <w:rFonts w:ascii="宋体" w:hAnsi="宋体"/>
                <w:color w:val="auto"/>
                <w:szCs w:val="21"/>
                <w:highlight w:val="none"/>
              </w:rPr>
            </w:pPr>
            <w:r>
              <w:rPr>
                <w:rFonts w:ascii="宋体" w:hAnsi="宋体"/>
                <w:color w:val="auto"/>
                <w:szCs w:val="21"/>
                <w:highlight w:val="none"/>
              </w:rPr>
              <w:t>（2）具有由人</w:t>
            </w:r>
            <w:r>
              <w:rPr>
                <w:color w:val="auto"/>
                <w:highlight w:val="none"/>
              </w:rPr>
              <w:fldChar w:fldCharType="begin"/>
            </w:r>
            <w:r>
              <w:rPr>
                <w:color w:val="auto"/>
                <w:highlight w:val="none"/>
              </w:rPr>
              <w:instrText xml:space="preserve"> HYPERLINK "http://www.baidu.com/link?url=kDmTOlv_AnGx5KLkwYg195-ziQdpscnEzO9Z2U206mRxAa4U2VbaiQE6Mter8iSl" \t "_blank" </w:instrText>
            </w:r>
            <w:r>
              <w:rPr>
                <w:color w:val="auto"/>
                <w:highlight w:val="none"/>
              </w:rPr>
              <w:fldChar w:fldCharType="separate"/>
            </w:r>
            <w:r>
              <w:rPr>
                <w:rFonts w:ascii="宋体" w:hAnsi="宋体"/>
                <w:color w:val="auto"/>
                <w:szCs w:val="21"/>
                <w:highlight w:val="none"/>
              </w:rPr>
              <w:t>力资源和社会保障部</w:t>
            </w:r>
            <w:r>
              <w:rPr>
                <w:rFonts w:ascii="宋体" w:hAnsi="宋体"/>
                <w:color w:val="auto"/>
                <w:szCs w:val="21"/>
                <w:highlight w:val="none"/>
              </w:rPr>
              <w:fldChar w:fldCharType="end"/>
            </w:r>
            <w:r>
              <w:rPr>
                <w:rFonts w:ascii="宋体" w:hAnsi="宋体"/>
                <w:color w:val="auto"/>
                <w:szCs w:val="21"/>
                <w:highlight w:val="none"/>
                <w:lang w:val="zh-CN"/>
              </w:rPr>
              <w:t>门（含原人事部门）或工业和信息化部门（含原信产部）</w:t>
            </w:r>
            <w:r>
              <w:rPr>
                <w:rFonts w:ascii="宋体" w:hAnsi="宋体"/>
                <w:color w:val="auto"/>
                <w:szCs w:val="21"/>
                <w:highlight w:val="none"/>
              </w:rPr>
              <w:t>颁发的信息系统项目管理师证书；</w:t>
            </w:r>
          </w:p>
          <w:p w14:paraId="02D89EDE">
            <w:pPr>
              <w:keepNext/>
              <w:keepLines/>
              <w:pageBreakBefore w:val="0"/>
              <w:numPr>
                <w:ilvl w:val="2"/>
                <w:numId w:val="0"/>
              </w:numPr>
              <w:shd w:val="clear" w:color="auto" w:fill="FFFFFF"/>
              <w:kinsoku/>
              <w:wordWrap/>
              <w:overflowPunct/>
              <w:topLinePunct w:val="0"/>
              <w:autoSpaceDE/>
              <w:autoSpaceDN/>
              <w:bidi w:val="0"/>
              <w:adjustRightInd/>
              <w:spacing w:line="360" w:lineRule="auto"/>
              <w:textAlignment w:val="auto"/>
              <w:outlineLvl w:val="2"/>
              <w:rPr>
                <w:rFonts w:ascii="宋体" w:hAnsi="宋体"/>
                <w:color w:val="auto"/>
                <w:szCs w:val="21"/>
                <w:highlight w:val="none"/>
              </w:rPr>
            </w:pPr>
            <w:r>
              <w:rPr>
                <w:rFonts w:ascii="宋体" w:hAnsi="宋体"/>
                <w:color w:val="auto"/>
                <w:szCs w:val="21"/>
                <w:highlight w:val="none"/>
              </w:rPr>
              <w:t>（3）具有由人</w:t>
            </w:r>
            <w:r>
              <w:rPr>
                <w:color w:val="auto"/>
                <w:highlight w:val="none"/>
              </w:rPr>
              <w:fldChar w:fldCharType="begin"/>
            </w:r>
            <w:r>
              <w:rPr>
                <w:color w:val="auto"/>
                <w:highlight w:val="none"/>
              </w:rPr>
              <w:instrText xml:space="preserve"> HYPERLINK "http://www.baidu.com/link?url=kDmTOlv_AnGx5KLkwYg195-ziQdpscnEzO9Z2U206mRxAa4U2VbaiQE6Mter8iSl" \t "_blank" </w:instrText>
            </w:r>
            <w:r>
              <w:rPr>
                <w:color w:val="auto"/>
                <w:highlight w:val="none"/>
              </w:rPr>
              <w:fldChar w:fldCharType="separate"/>
            </w:r>
            <w:r>
              <w:rPr>
                <w:rFonts w:ascii="宋体" w:hAnsi="宋体"/>
                <w:color w:val="auto"/>
                <w:szCs w:val="21"/>
                <w:highlight w:val="none"/>
              </w:rPr>
              <w:t>力资源和社会保障部</w:t>
            </w:r>
            <w:r>
              <w:rPr>
                <w:rFonts w:ascii="宋体" w:hAnsi="宋体"/>
                <w:color w:val="auto"/>
                <w:szCs w:val="21"/>
                <w:highlight w:val="none"/>
              </w:rPr>
              <w:fldChar w:fldCharType="end"/>
            </w:r>
            <w:r>
              <w:rPr>
                <w:rFonts w:ascii="宋体" w:hAnsi="宋体"/>
                <w:color w:val="auto"/>
                <w:szCs w:val="21"/>
                <w:highlight w:val="none"/>
                <w:lang w:val="zh-CN"/>
              </w:rPr>
              <w:t>门（含原人事部门）或工业和信息化部门（含原信产部）</w:t>
            </w:r>
            <w:r>
              <w:rPr>
                <w:rFonts w:ascii="宋体" w:hAnsi="宋体"/>
                <w:color w:val="auto"/>
                <w:szCs w:val="21"/>
                <w:highlight w:val="none"/>
              </w:rPr>
              <w:t>颁发的高级工程师证书（信息通信技术类）；</w:t>
            </w:r>
          </w:p>
          <w:p w14:paraId="137F4C98">
            <w:pPr>
              <w:keepNext/>
              <w:keepLines/>
              <w:pageBreakBefore w:val="0"/>
              <w:numPr>
                <w:ilvl w:val="2"/>
                <w:numId w:val="0"/>
              </w:numPr>
              <w:shd w:val="clear" w:color="auto" w:fill="FFFFFF"/>
              <w:kinsoku/>
              <w:wordWrap/>
              <w:overflowPunct/>
              <w:topLinePunct w:val="0"/>
              <w:autoSpaceDE/>
              <w:autoSpaceDN/>
              <w:bidi w:val="0"/>
              <w:adjustRightInd/>
              <w:spacing w:line="360" w:lineRule="auto"/>
              <w:textAlignment w:val="auto"/>
              <w:outlineLvl w:val="2"/>
              <w:rPr>
                <w:rFonts w:ascii="宋体" w:hAnsi="宋体"/>
                <w:color w:val="auto"/>
                <w:szCs w:val="21"/>
                <w:highlight w:val="none"/>
              </w:rPr>
            </w:pPr>
            <w:r>
              <w:rPr>
                <w:rFonts w:ascii="宋体" w:hAnsi="宋体"/>
                <w:color w:val="auto"/>
                <w:szCs w:val="21"/>
                <w:highlight w:val="none"/>
              </w:rPr>
              <w:t>（4）具有由人</w:t>
            </w:r>
            <w:r>
              <w:rPr>
                <w:color w:val="auto"/>
                <w:highlight w:val="none"/>
              </w:rPr>
              <w:fldChar w:fldCharType="begin"/>
            </w:r>
            <w:r>
              <w:rPr>
                <w:color w:val="auto"/>
                <w:highlight w:val="none"/>
              </w:rPr>
              <w:instrText xml:space="preserve"> HYPERLINK "http://www.baidu.com/link?url=kDmTOlv_AnGx5KLkwYg195-ziQdpscnEzO9Z2U206mRxAa4U2VbaiQE6Mter8iSl" \t "_blank" </w:instrText>
            </w:r>
            <w:r>
              <w:rPr>
                <w:color w:val="auto"/>
                <w:highlight w:val="none"/>
              </w:rPr>
              <w:fldChar w:fldCharType="separate"/>
            </w:r>
            <w:r>
              <w:rPr>
                <w:rFonts w:ascii="宋体" w:hAnsi="宋体"/>
                <w:color w:val="auto"/>
                <w:szCs w:val="21"/>
                <w:highlight w:val="none"/>
              </w:rPr>
              <w:t>力资源和社会保障部</w:t>
            </w:r>
            <w:r>
              <w:rPr>
                <w:rFonts w:ascii="宋体" w:hAnsi="宋体"/>
                <w:color w:val="auto"/>
                <w:szCs w:val="21"/>
                <w:highlight w:val="none"/>
              </w:rPr>
              <w:fldChar w:fldCharType="end"/>
            </w:r>
            <w:r>
              <w:rPr>
                <w:rFonts w:ascii="宋体" w:hAnsi="宋体"/>
                <w:color w:val="auto"/>
                <w:szCs w:val="21"/>
                <w:highlight w:val="none"/>
                <w:lang w:val="zh-CN"/>
              </w:rPr>
              <w:t>门（含原人事部门）或工业和信息化部门（含原信产部）</w:t>
            </w:r>
            <w:r>
              <w:rPr>
                <w:rFonts w:ascii="宋体" w:hAnsi="宋体"/>
                <w:color w:val="auto"/>
                <w:szCs w:val="21"/>
                <w:highlight w:val="none"/>
              </w:rPr>
              <w:t>颁发的</w:t>
            </w:r>
            <w:r>
              <w:rPr>
                <w:color w:val="auto"/>
                <w:highlight w:val="none"/>
              </w:rPr>
              <w:t>通信网络管理员一级或高级技师证书（专业为通信或网络或电子类）</w:t>
            </w:r>
            <w:r>
              <w:rPr>
                <w:rFonts w:ascii="宋体" w:hAnsi="宋体"/>
                <w:color w:val="auto"/>
                <w:szCs w:val="21"/>
                <w:highlight w:val="none"/>
              </w:rPr>
              <w:t>；</w:t>
            </w:r>
          </w:p>
          <w:p w14:paraId="0BFD57C5">
            <w:pPr>
              <w:keepNext/>
              <w:keepLines/>
              <w:pageBreakBefore w:val="0"/>
              <w:numPr>
                <w:ilvl w:val="2"/>
                <w:numId w:val="0"/>
              </w:numPr>
              <w:shd w:val="clear" w:color="auto" w:fill="FFFFFF"/>
              <w:kinsoku/>
              <w:wordWrap/>
              <w:overflowPunct/>
              <w:topLinePunct w:val="0"/>
              <w:autoSpaceDE/>
              <w:autoSpaceDN/>
              <w:bidi w:val="0"/>
              <w:adjustRightInd/>
              <w:spacing w:line="360" w:lineRule="auto"/>
              <w:textAlignment w:val="auto"/>
              <w:outlineLvl w:val="2"/>
              <w:rPr>
                <w:rFonts w:ascii="宋体" w:hAnsi="宋体"/>
                <w:color w:val="auto"/>
                <w:szCs w:val="21"/>
                <w:highlight w:val="none"/>
              </w:rPr>
            </w:pPr>
            <w:r>
              <w:rPr>
                <w:rFonts w:ascii="宋体" w:hAnsi="宋体"/>
                <w:color w:val="auto"/>
                <w:szCs w:val="21"/>
                <w:highlight w:val="none"/>
              </w:rPr>
              <w:t>（5）具有由人</w:t>
            </w:r>
            <w:r>
              <w:rPr>
                <w:color w:val="auto"/>
                <w:highlight w:val="none"/>
              </w:rPr>
              <w:fldChar w:fldCharType="begin"/>
            </w:r>
            <w:r>
              <w:rPr>
                <w:color w:val="auto"/>
                <w:highlight w:val="none"/>
              </w:rPr>
              <w:instrText xml:space="preserve"> HYPERLINK "http://www.baidu.com/link?url=kDmTOlv_AnGx5KLkwYg195-ziQdpscnEzO9Z2U206mRxAa4U2VbaiQE6Mter8iSl" \t "_blank" </w:instrText>
            </w:r>
            <w:r>
              <w:rPr>
                <w:color w:val="auto"/>
                <w:highlight w:val="none"/>
              </w:rPr>
              <w:fldChar w:fldCharType="separate"/>
            </w:r>
            <w:r>
              <w:rPr>
                <w:rFonts w:ascii="宋体" w:hAnsi="宋体"/>
                <w:color w:val="auto"/>
                <w:szCs w:val="21"/>
                <w:highlight w:val="none"/>
              </w:rPr>
              <w:t>力资源和社会保障部</w:t>
            </w:r>
            <w:r>
              <w:rPr>
                <w:rFonts w:ascii="宋体" w:hAnsi="宋体"/>
                <w:color w:val="auto"/>
                <w:szCs w:val="21"/>
                <w:highlight w:val="none"/>
              </w:rPr>
              <w:fldChar w:fldCharType="end"/>
            </w:r>
            <w:r>
              <w:rPr>
                <w:rFonts w:ascii="宋体" w:hAnsi="宋体"/>
                <w:color w:val="auto"/>
                <w:szCs w:val="21"/>
                <w:highlight w:val="none"/>
                <w:lang w:val="zh-CN"/>
              </w:rPr>
              <w:t>门（含原人事部门）或工业和信息化部门（含原信产部）</w:t>
            </w:r>
            <w:r>
              <w:rPr>
                <w:rFonts w:ascii="宋体" w:hAnsi="宋体"/>
                <w:color w:val="auto"/>
                <w:szCs w:val="21"/>
                <w:highlight w:val="none"/>
              </w:rPr>
              <w:t>颁发的</w:t>
            </w:r>
            <w:r>
              <w:rPr>
                <w:color w:val="auto"/>
                <w:highlight w:val="none"/>
              </w:rPr>
              <w:t>物联网工程师</w:t>
            </w:r>
            <w:r>
              <w:rPr>
                <w:rFonts w:ascii="宋体" w:hAnsi="宋体"/>
                <w:color w:val="auto"/>
                <w:szCs w:val="21"/>
                <w:highlight w:val="none"/>
              </w:rPr>
              <w:t>证书；</w:t>
            </w:r>
          </w:p>
          <w:p w14:paraId="3B0734F5">
            <w:pPr>
              <w:pageBreakBefore w:val="0"/>
              <w:kinsoku/>
              <w:wordWrap/>
              <w:overflowPunct/>
              <w:topLinePunct w:val="0"/>
              <w:autoSpaceDE/>
              <w:autoSpaceDN/>
              <w:bidi w:val="0"/>
              <w:adjustRightInd/>
              <w:spacing w:line="360" w:lineRule="auto"/>
              <w:textAlignment w:val="auto"/>
              <w:rPr>
                <w:rFonts w:ascii="宋体" w:hAnsi="宋体"/>
                <w:color w:val="auto"/>
                <w:szCs w:val="21"/>
                <w:highlight w:val="none"/>
              </w:rPr>
            </w:pPr>
            <w:r>
              <w:rPr>
                <w:rFonts w:ascii="宋体" w:hAnsi="宋体"/>
                <w:color w:val="auto"/>
                <w:szCs w:val="21"/>
                <w:highlight w:val="none"/>
              </w:rPr>
              <w:t>以上证书每提供一个得3分，最高得15分，</w:t>
            </w:r>
            <w:r>
              <w:rPr>
                <w:color w:val="auto"/>
                <w:highlight w:val="none"/>
              </w:rPr>
              <w:t>未提供不得分</w:t>
            </w:r>
            <w:r>
              <w:rPr>
                <w:rFonts w:ascii="宋体" w:hAnsi="宋体"/>
                <w:color w:val="auto"/>
                <w:szCs w:val="21"/>
                <w:highlight w:val="none"/>
              </w:rPr>
              <w:t>。</w:t>
            </w:r>
          </w:p>
          <w:p w14:paraId="622C8A80">
            <w:pPr>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lang w:val="zh-CN"/>
              </w:rPr>
            </w:pPr>
            <w:r>
              <w:rPr>
                <w:rFonts w:ascii="宋体" w:hAnsi="宋体" w:cs="宋体"/>
                <w:color w:val="auto"/>
                <w:szCs w:val="21"/>
                <w:highlight w:val="none"/>
              </w:rPr>
              <w:t>【注：</w:t>
            </w:r>
            <w:r>
              <w:rPr>
                <w:rFonts w:ascii="宋体" w:hAnsi="宋体"/>
                <w:color w:val="auto"/>
                <w:szCs w:val="21"/>
                <w:highlight w:val="none"/>
              </w:rPr>
              <w:t>须提供人员相关证书复印件及</w:t>
            </w:r>
            <w:r>
              <w:rPr>
                <w:color w:val="auto"/>
                <w:highlight w:val="none"/>
              </w:rPr>
              <w:t>社会保障部门出具的距开标时间</w:t>
            </w:r>
            <w:r>
              <w:rPr>
                <w:rFonts w:hint="eastAsia"/>
                <w:color w:val="auto"/>
                <w:highlight w:val="none"/>
                <w:lang w:val="en-US" w:eastAsia="zh-CN"/>
              </w:rPr>
              <w:t>前</w:t>
            </w:r>
            <w:r>
              <w:rPr>
                <w:color w:val="auto"/>
                <w:highlight w:val="none"/>
              </w:rPr>
              <w:t>6个月</w:t>
            </w:r>
            <w:r>
              <w:rPr>
                <w:rFonts w:hint="eastAsia"/>
                <w:color w:val="auto"/>
                <w:highlight w:val="none"/>
                <w:lang w:eastAsia="zh-CN"/>
              </w:rPr>
              <w:t>（</w:t>
            </w:r>
            <w:r>
              <w:rPr>
                <w:rFonts w:hint="eastAsia"/>
                <w:color w:val="auto"/>
                <w:highlight w:val="none"/>
                <w:lang w:val="en-US" w:eastAsia="zh-CN"/>
              </w:rPr>
              <w:t>不含开标当月</w:t>
            </w:r>
            <w:r>
              <w:rPr>
                <w:rFonts w:hint="eastAsia"/>
                <w:color w:val="auto"/>
                <w:highlight w:val="none"/>
                <w:lang w:eastAsia="zh-CN"/>
              </w:rPr>
              <w:t>）</w:t>
            </w:r>
            <w:r>
              <w:rPr>
                <w:color w:val="auto"/>
                <w:highlight w:val="none"/>
              </w:rPr>
              <w:t>内任意1个月在</w:t>
            </w:r>
            <w:r>
              <w:rPr>
                <w:rFonts w:hint="eastAsia"/>
                <w:color w:val="auto"/>
                <w:highlight w:val="none"/>
                <w:lang w:eastAsia="zh-CN"/>
              </w:rPr>
              <w:t>供应商</w:t>
            </w:r>
            <w:r>
              <w:rPr>
                <w:color w:val="auto"/>
                <w:highlight w:val="none"/>
              </w:rPr>
              <w:t>（</w:t>
            </w:r>
            <w:r>
              <w:rPr>
                <w:rFonts w:ascii="宋体" w:hAnsi="宋体" w:cs="宋体"/>
                <w:color w:val="auto"/>
                <w:szCs w:val="21"/>
                <w:highlight w:val="none"/>
              </w:rPr>
              <w:t>含其上级总公司或分支机构</w:t>
            </w:r>
            <w:r>
              <w:rPr>
                <w:color w:val="auto"/>
                <w:highlight w:val="none"/>
              </w:rPr>
              <w:t>）为其缴纳社会保险的有效凭证复印件</w:t>
            </w:r>
            <w:r>
              <w:rPr>
                <w:rFonts w:ascii="宋体" w:hAnsi="宋体"/>
                <w:color w:val="auto"/>
                <w:szCs w:val="21"/>
                <w:highlight w:val="none"/>
              </w:rPr>
              <w:t>并加盖</w:t>
            </w:r>
            <w:r>
              <w:rPr>
                <w:rFonts w:hint="eastAsia" w:ascii="宋体" w:hAnsi="宋体"/>
                <w:color w:val="auto"/>
                <w:szCs w:val="21"/>
                <w:highlight w:val="none"/>
                <w:lang w:eastAsia="zh-CN"/>
              </w:rPr>
              <w:t>供应商</w:t>
            </w:r>
            <w:r>
              <w:rPr>
                <w:rFonts w:ascii="宋体" w:hAnsi="宋体"/>
                <w:color w:val="auto"/>
                <w:szCs w:val="21"/>
                <w:highlight w:val="none"/>
              </w:rPr>
              <w:t>公章</w:t>
            </w:r>
            <w:r>
              <w:rPr>
                <w:rFonts w:ascii="宋体" w:hAnsi="宋体" w:cs="宋体"/>
                <w:color w:val="auto"/>
                <w:szCs w:val="21"/>
                <w:highlight w:val="none"/>
              </w:rPr>
              <w:t>】</w:t>
            </w:r>
          </w:p>
        </w:tc>
      </w:tr>
      <w:tr w14:paraId="0820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3E8E18EE">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right w:val="single" w:color="auto" w:sz="4" w:space="0"/>
            </w:tcBorders>
            <w:noWrap w:val="0"/>
            <w:vAlign w:val="center"/>
          </w:tcPr>
          <w:p w14:paraId="26901CC7">
            <w:pPr>
              <w:pageBreakBefore w:val="0"/>
              <w:kinsoku/>
              <w:wordWrap/>
              <w:overflowPunct/>
              <w:topLinePunct w:val="0"/>
              <w:autoSpaceDE/>
              <w:autoSpaceDN/>
              <w:bidi w:val="0"/>
              <w:adjustRightInd/>
              <w:spacing w:line="360" w:lineRule="auto"/>
              <w:jc w:val="center"/>
              <w:textAlignment w:val="auto"/>
              <w:rPr>
                <w:rFonts w:hint="eastAsia" w:ascii="宋体" w:hAnsi="宋体" w:cs="宋体"/>
                <w:color w:val="auto"/>
                <w:sz w:val="21"/>
                <w:szCs w:val="21"/>
                <w:highlight w:val="none"/>
              </w:rPr>
            </w:pPr>
            <w:r>
              <w:rPr>
                <w:rFonts w:ascii="宋体" w:hAnsi="宋体"/>
                <w:color w:val="auto"/>
                <w:szCs w:val="21"/>
                <w:highlight w:val="none"/>
              </w:rPr>
              <w:t>拟投入安全负责人情况</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47C4C02C">
            <w:pPr>
              <w:pStyle w:val="16"/>
              <w:pageBreakBefore w:val="0"/>
              <w:kinsoku/>
              <w:wordWrap/>
              <w:overflowPunct/>
              <w:topLinePunct w:val="0"/>
              <w:autoSpaceDE/>
              <w:autoSpaceDN/>
              <w:bidi w:val="0"/>
              <w:adjustRightInd/>
              <w:spacing w:beforeAutospacing="0" w:after="0" w:afterAutospacing="0" w:line="360" w:lineRule="auto"/>
              <w:ind w:left="0" w:leftChars="0" w:right="0" w:righ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66AACE20">
            <w:pPr>
              <w:pageBreakBefore w:val="0"/>
              <w:kinsoku/>
              <w:wordWrap/>
              <w:overflowPunct/>
              <w:topLinePunct w:val="0"/>
              <w:autoSpaceDE/>
              <w:autoSpaceDN/>
              <w:bidi w:val="0"/>
              <w:adjustRightInd/>
              <w:spacing w:line="360" w:lineRule="auto"/>
              <w:textAlignment w:val="auto"/>
              <w:rPr>
                <w:rFonts w:ascii="宋体" w:hAnsi="宋体"/>
                <w:bCs/>
                <w:color w:val="auto"/>
                <w:szCs w:val="21"/>
                <w:highlight w:val="none"/>
              </w:rPr>
            </w:pPr>
            <w:r>
              <w:rPr>
                <w:rFonts w:hint="eastAsia" w:ascii="宋体" w:hAnsi="宋体"/>
                <w:bCs/>
                <w:color w:val="auto"/>
                <w:szCs w:val="21"/>
                <w:highlight w:val="none"/>
                <w:lang w:eastAsia="zh-CN"/>
              </w:rPr>
              <w:t>供应商</w:t>
            </w:r>
            <w:r>
              <w:rPr>
                <w:rFonts w:ascii="宋体" w:hAnsi="宋体"/>
                <w:bCs/>
                <w:color w:val="auto"/>
                <w:szCs w:val="21"/>
                <w:highlight w:val="none"/>
              </w:rPr>
              <w:t>拟投入的本项目的安全负责人（仅一人）进行评审：</w:t>
            </w:r>
          </w:p>
          <w:p w14:paraId="4435646A">
            <w:pPr>
              <w:pageBreakBefore w:val="0"/>
              <w:kinsoku/>
              <w:wordWrap/>
              <w:overflowPunct/>
              <w:topLinePunct w:val="0"/>
              <w:autoSpaceDE/>
              <w:autoSpaceDN/>
              <w:bidi w:val="0"/>
              <w:adjustRightInd/>
              <w:spacing w:line="360" w:lineRule="auto"/>
              <w:textAlignment w:val="auto"/>
              <w:rPr>
                <w:color w:val="auto"/>
                <w:highlight w:val="none"/>
              </w:rPr>
            </w:pPr>
            <w:r>
              <w:rPr>
                <w:color w:val="auto"/>
                <w:highlight w:val="none"/>
              </w:rPr>
              <w:t>（1）</w:t>
            </w:r>
            <w:r>
              <w:rPr>
                <w:rFonts w:ascii="宋体" w:hAnsi="宋体"/>
                <w:color w:val="auto"/>
                <w:szCs w:val="21"/>
                <w:highlight w:val="none"/>
              </w:rPr>
              <w:t>具有由人</w:t>
            </w:r>
            <w:r>
              <w:rPr>
                <w:color w:val="auto"/>
                <w:highlight w:val="none"/>
              </w:rPr>
              <w:fldChar w:fldCharType="begin"/>
            </w:r>
            <w:r>
              <w:rPr>
                <w:color w:val="auto"/>
                <w:highlight w:val="none"/>
              </w:rPr>
              <w:instrText xml:space="preserve"> HYPERLINK "http://www.baidu.com/link?url=kDmTOlv_AnGx5KLkwYg195-ziQdpscnEzO9Z2U206mRxAa4U2VbaiQE6Mter8iSl" \t "_blank" </w:instrText>
            </w:r>
            <w:r>
              <w:rPr>
                <w:color w:val="auto"/>
                <w:highlight w:val="none"/>
              </w:rPr>
              <w:fldChar w:fldCharType="separate"/>
            </w:r>
            <w:r>
              <w:rPr>
                <w:rFonts w:ascii="宋体" w:hAnsi="宋体"/>
                <w:color w:val="auto"/>
                <w:szCs w:val="21"/>
                <w:highlight w:val="none"/>
              </w:rPr>
              <w:t>力资源和社会保障部</w:t>
            </w:r>
            <w:r>
              <w:rPr>
                <w:rFonts w:ascii="宋体" w:hAnsi="宋体"/>
                <w:color w:val="auto"/>
                <w:szCs w:val="21"/>
                <w:highlight w:val="none"/>
              </w:rPr>
              <w:fldChar w:fldCharType="end"/>
            </w:r>
            <w:r>
              <w:rPr>
                <w:rFonts w:ascii="宋体" w:hAnsi="宋体"/>
                <w:color w:val="auto"/>
                <w:szCs w:val="21"/>
                <w:highlight w:val="none"/>
                <w:lang w:val="zh-CN"/>
              </w:rPr>
              <w:t>门（含原人事部门）或工业和信息化部门（含原信产部）</w:t>
            </w:r>
            <w:r>
              <w:rPr>
                <w:rFonts w:ascii="宋体" w:hAnsi="宋体"/>
                <w:color w:val="auto"/>
                <w:szCs w:val="21"/>
                <w:highlight w:val="none"/>
              </w:rPr>
              <w:t>颁发</w:t>
            </w:r>
            <w:r>
              <w:rPr>
                <w:color w:val="auto"/>
                <w:highlight w:val="none"/>
              </w:rPr>
              <w:t>的信息系统项目管理师证书；</w:t>
            </w:r>
          </w:p>
          <w:p w14:paraId="52FDE3F2">
            <w:pPr>
              <w:pageBreakBefore w:val="0"/>
              <w:kinsoku/>
              <w:wordWrap/>
              <w:overflowPunct/>
              <w:topLinePunct w:val="0"/>
              <w:autoSpaceDE/>
              <w:autoSpaceDN/>
              <w:bidi w:val="0"/>
              <w:adjustRightInd/>
              <w:spacing w:line="360" w:lineRule="auto"/>
              <w:textAlignment w:val="auto"/>
              <w:rPr>
                <w:color w:val="auto"/>
                <w:highlight w:val="none"/>
              </w:rPr>
            </w:pPr>
            <w:r>
              <w:rPr>
                <w:color w:val="auto"/>
                <w:highlight w:val="none"/>
              </w:rPr>
              <w:t>（2）</w:t>
            </w:r>
            <w:r>
              <w:rPr>
                <w:rFonts w:ascii="宋体" w:hAnsi="宋体"/>
                <w:color w:val="auto"/>
                <w:szCs w:val="21"/>
                <w:highlight w:val="none"/>
              </w:rPr>
              <w:t>具有由人</w:t>
            </w:r>
            <w:r>
              <w:rPr>
                <w:color w:val="auto"/>
                <w:highlight w:val="none"/>
              </w:rPr>
              <w:fldChar w:fldCharType="begin"/>
            </w:r>
            <w:r>
              <w:rPr>
                <w:color w:val="auto"/>
                <w:highlight w:val="none"/>
              </w:rPr>
              <w:instrText xml:space="preserve"> HYPERLINK "http://www.baidu.com/link?url=kDmTOlv_AnGx5KLkwYg195-ziQdpscnEzO9Z2U206mRxAa4U2VbaiQE6Mter8iSl" \t "_blank" </w:instrText>
            </w:r>
            <w:r>
              <w:rPr>
                <w:color w:val="auto"/>
                <w:highlight w:val="none"/>
              </w:rPr>
              <w:fldChar w:fldCharType="separate"/>
            </w:r>
            <w:r>
              <w:rPr>
                <w:rFonts w:ascii="宋体" w:hAnsi="宋体"/>
                <w:color w:val="auto"/>
                <w:szCs w:val="21"/>
                <w:highlight w:val="none"/>
              </w:rPr>
              <w:t>力资源和社会保障部</w:t>
            </w:r>
            <w:r>
              <w:rPr>
                <w:rFonts w:ascii="宋体" w:hAnsi="宋体"/>
                <w:color w:val="auto"/>
                <w:szCs w:val="21"/>
                <w:highlight w:val="none"/>
              </w:rPr>
              <w:fldChar w:fldCharType="end"/>
            </w:r>
            <w:r>
              <w:rPr>
                <w:rFonts w:ascii="宋体" w:hAnsi="宋体"/>
                <w:color w:val="auto"/>
                <w:szCs w:val="21"/>
                <w:highlight w:val="none"/>
                <w:lang w:val="zh-CN"/>
              </w:rPr>
              <w:t>门（含原人事部门）或工业和信息化部门（含原信产部）</w:t>
            </w:r>
            <w:r>
              <w:rPr>
                <w:rFonts w:ascii="宋体" w:hAnsi="宋体"/>
                <w:color w:val="auto"/>
                <w:szCs w:val="21"/>
                <w:highlight w:val="none"/>
              </w:rPr>
              <w:t>颁发的</w:t>
            </w:r>
            <w:r>
              <w:rPr>
                <w:color w:val="auto"/>
                <w:highlight w:val="none"/>
              </w:rPr>
              <w:t>通信网络管理员一级或高级技师（专业为通信或网络或电子类）；</w:t>
            </w:r>
          </w:p>
          <w:p w14:paraId="15B21F06">
            <w:pPr>
              <w:pageBreakBefore w:val="0"/>
              <w:kinsoku/>
              <w:wordWrap/>
              <w:overflowPunct/>
              <w:topLinePunct w:val="0"/>
              <w:autoSpaceDE/>
              <w:autoSpaceDN/>
              <w:bidi w:val="0"/>
              <w:adjustRightInd/>
              <w:spacing w:line="360" w:lineRule="auto"/>
              <w:textAlignment w:val="auto"/>
              <w:rPr>
                <w:color w:val="auto"/>
                <w:highlight w:val="none"/>
              </w:rPr>
            </w:pPr>
            <w:r>
              <w:rPr>
                <w:color w:val="auto"/>
                <w:highlight w:val="none"/>
              </w:rPr>
              <w:t>（3）</w:t>
            </w:r>
            <w:r>
              <w:rPr>
                <w:rFonts w:ascii="宋体" w:hAnsi="宋体"/>
                <w:color w:val="auto"/>
                <w:szCs w:val="21"/>
                <w:highlight w:val="none"/>
              </w:rPr>
              <w:t>具有由人</w:t>
            </w:r>
            <w:r>
              <w:rPr>
                <w:color w:val="auto"/>
                <w:highlight w:val="none"/>
              </w:rPr>
              <w:fldChar w:fldCharType="begin"/>
            </w:r>
            <w:r>
              <w:rPr>
                <w:color w:val="auto"/>
                <w:highlight w:val="none"/>
              </w:rPr>
              <w:instrText xml:space="preserve"> HYPERLINK "http://www.baidu.com/link?url=kDmTOlv_AnGx5KLkwYg195-ziQdpscnEzO9Z2U206mRxAa4U2VbaiQE6Mter8iSl" \t "_blank" </w:instrText>
            </w:r>
            <w:r>
              <w:rPr>
                <w:color w:val="auto"/>
                <w:highlight w:val="none"/>
              </w:rPr>
              <w:fldChar w:fldCharType="separate"/>
            </w:r>
            <w:r>
              <w:rPr>
                <w:rFonts w:ascii="宋体" w:hAnsi="宋体"/>
                <w:color w:val="auto"/>
                <w:szCs w:val="21"/>
                <w:highlight w:val="none"/>
              </w:rPr>
              <w:t>力资源和社会保障部</w:t>
            </w:r>
            <w:r>
              <w:rPr>
                <w:rFonts w:ascii="宋体" w:hAnsi="宋体"/>
                <w:color w:val="auto"/>
                <w:szCs w:val="21"/>
                <w:highlight w:val="none"/>
              </w:rPr>
              <w:fldChar w:fldCharType="end"/>
            </w:r>
            <w:r>
              <w:rPr>
                <w:rFonts w:ascii="宋体" w:hAnsi="宋体"/>
                <w:color w:val="auto"/>
                <w:szCs w:val="21"/>
                <w:highlight w:val="none"/>
                <w:lang w:val="zh-CN"/>
              </w:rPr>
              <w:t>门（含原人事部门）或工业和信息化部门（含原信产部）</w:t>
            </w:r>
            <w:r>
              <w:rPr>
                <w:rFonts w:ascii="宋体" w:hAnsi="宋体"/>
                <w:color w:val="auto"/>
                <w:szCs w:val="21"/>
                <w:highlight w:val="none"/>
              </w:rPr>
              <w:t>颁发的</w:t>
            </w:r>
            <w:r>
              <w:rPr>
                <w:color w:val="auto"/>
                <w:highlight w:val="none"/>
              </w:rPr>
              <w:t>网络工程师证书；</w:t>
            </w:r>
          </w:p>
          <w:p w14:paraId="348E69DD">
            <w:pPr>
              <w:pageBreakBefore w:val="0"/>
              <w:kinsoku/>
              <w:wordWrap/>
              <w:overflowPunct/>
              <w:topLinePunct w:val="0"/>
              <w:autoSpaceDE/>
              <w:autoSpaceDN/>
              <w:bidi w:val="0"/>
              <w:adjustRightInd/>
              <w:spacing w:line="360" w:lineRule="auto"/>
              <w:textAlignment w:val="auto"/>
              <w:rPr>
                <w:color w:val="auto"/>
                <w:highlight w:val="none"/>
              </w:rPr>
            </w:pPr>
            <w:r>
              <w:rPr>
                <w:color w:val="auto"/>
                <w:highlight w:val="none"/>
              </w:rPr>
              <w:t>（4）</w:t>
            </w:r>
            <w:r>
              <w:rPr>
                <w:rFonts w:ascii="宋体" w:hAnsi="宋体"/>
                <w:color w:val="auto"/>
                <w:szCs w:val="21"/>
                <w:highlight w:val="none"/>
              </w:rPr>
              <w:t>具有由人</w:t>
            </w:r>
            <w:r>
              <w:rPr>
                <w:color w:val="auto"/>
                <w:highlight w:val="none"/>
              </w:rPr>
              <w:fldChar w:fldCharType="begin"/>
            </w:r>
            <w:r>
              <w:rPr>
                <w:color w:val="auto"/>
                <w:highlight w:val="none"/>
              </w:rPr>
              <w:instrText xml:space="preserve"> HYPERLINK "http://www.baidu.com/link?url=kDmTOlv_AnGx5KLkwYg195-ziQdpscnEzO9Z2U206mRxAa4U2VbaiQE6Mter8iSl" \t "_blank" </w:instrText>
            </w:r>
            <w:r>
              <w:rPr>
                <w:color w:val="auto"/>
                <w:highlight w:val="none"/>
              </w:rPr>
              <w:fldChar w:fldCharType="separate"/>
            </w:r>
            <w:r>
              <w:rPr>
                <w:rFonts w:ascii="宋体" w:hAnsi="宋体"/>
                <w:color w:val="auto"/>
                <w:szCs w:val="21"/>
                <w:highlight w:val="none"/>
              </w:rPr>
              <w:t>力资源和社会保障部</w:t>
            </w:r>
            <w:r>
              <w:rPr>
                <w:rFonts w:ascii="宋体" w:hAnsi="宋体"/>
                <w:color w:val="auto"/>
                <w:szCs w:val="21"/>
                <w:highlight w:val="none"/>
              </w:rPr>
              <w:fldChar w:fldCharType="end"/>
            </w:r>
            <w:r>
              <w:rPr>
                <w:rFonts w:ascii="宋体" w:hAnsi="宋体"/>
                <w:color w:val="auto"/>
                <w:szCs w:val="21"/>
                <w:highlight w:val="none"/>
                <w:lang w:val="zh-CN"/>
              </w:rPr>
              <w:t>门（含原人事部门）或工业和信息化部门（含原信产部）</w:t>
            </w:r>
            <w:r>
              <w:rPr>
                <w:rFonts w:ascii="宋体" w:hAnsi="宋体"/>
                <w:color w:val="auto"/>
                <w:szCs w:val="21"/>
                <w:highlight w:val="none"/>
              </w:rPr>
              <w:t>颁发的</w:t>
            </w:r>
            <w:r>
              <w:rPr>
                <w:color w:val="auto"/>
                <w:highlight w:val="none"/>
              </w:rPr>
              <w:t>数据库系统工程师证书；</w:t>
            </w:r>
          </w:p>
          <w:p w14:paraId="53437F39">
            <w:pPr>
              <w:pageBreakBefore w:val="0"/>
              <w:kinsoku/>
              <w:wordWrap/>
              <w:overflowPunct/>
              <w:topLinePunct w:val="0"/>
              <w:autoSpaceDE/>
              <w:autoSpaceDN/>
              <w:bidi w:val="0"/>
              <w:adjustRightInd/>
              <w:spacing w:line="360" w:lineRule="auto"/>
              <w:textAlignment w:val="auto"/>
              <w:rPr>
                <w:color w:val="auto"/>
                <w:highlight w:val="none"/>
              </w:rPr>
            </w:pPr>
            <w:r>
              <w:rPr>
                <w:color w:val="auto"/>
                <w:highlight w:val="none"/>
              </w:rPr>
              <w:t>（5）具有中国信息安全测评中心颁发的注册信息安全管理员（CISO）证书；</w:t>
            </w:r>
          </w:p>
          <w:p w14:paraId="34BC15C9">
            <w:pPr>
              <w:pageBreakBefore w:val="0"/>
              <w:kinsoku/>
              <w:wordWrap/>
              <w:overflowPunct/>
              <w:topLinePunct w:val="0"/>
              <w:autoSpaceDE/>
              <w:autoSpaceDN/>
              <w:bidi w:val="0"/>
              <w:adjustRightInd/>
              <w:spacing w:line="360" w:lineRule="auto"/>
              <w:textAlignment w:val="auto"/>
              <w:rPr>
                <w:color w:val="auto"/>
                <w:highlight w:val="none"/>
              </w:rPr>
            </w:pPr>
            <w:r>
              <w:rPr>
                <w:color w:val="auto"/>
                <w:highlight w:val="none"/>
              </w:rPr>
              <w:t>以上证书每提供一个得2分，最高得10分，未提供不得分。</w:t>
            </w:r>
          </w:p>
          <w:p w14:paraId="5D832247">
            <w:pPr>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lang w:val="zh-CN"/>
              </w:rPr>
            </w:pPr>
            <w:r>
              <w:rPr>
                <w:rFonts w:ascii="宋体" w:hAnsi="宋体" w:cs="宋体"/>
                <w:color w:val="auto"/>
                <w:szCs w:val="21"/>
                <w:highlight w:val="none"/>
              </w:rPr>
              <w:t>【注：</w:t>
            </w:r>
            <w:r>
              <w:rPr>
                <w:rFonts w:ascii="宋体" w:hAnsi="宋体"/>
                <w:color w:val="auto"/>
                <w:szCs w:val="21"/>
                <w:highlight w:val="none"/>
              </w:rPr>
              <w:t>须提供人员相关证书复印件及</w:t>
            </w:r>
            <w:r>
              <w:rPr>
                <w:color w:val="auto"/>
                <w:highlight w:val="none"/>
              </w:rPr>
              <w:t>社会保障部门出具的距开标时间</w:t>
            </w:r>
            <w:r>
              <w:rPr>
                <w:rFonts w:hint="eastAsia"/>
                <w:color w:val="auto"/>
                <w:highlight w:val="none"/>
                <w:lang w:val="en-US" w:eastAsia="zh-CN"/>
              </w:rPr>
              <w:t>前</w:t>
            </w:r>
            <w:r>
              <w:rPr>
                <w:color w:val="auto"/>
                <w:highlight w:val="none"/>
              </w:rPr>
              <w:t>6个月</w:t>
            </w:r>
            <w:r>
              <w:rPr>
                <w:rFonts w:hint="eastAsia"/>
                <w:color w:val="auto"/>
                <w:highlight w:val="none"/>
                <w:lang w:eastAsia="zh-CN"/>
              </w:rPr>
              <w:t>（</w:t>
            </w:r>
            <w:r>
              <w:rPr>
                <w:rFonts w:hint="eastAsia"/>
                <w:color w:val="auto"/>
                <w:highlight w:val="none"/>
                <w:lang w:val="en-US" w:eastAsia="zh-CN"/>
              </w:rPr>
              <w:t>不含开标当月</w:t>
            </w:r>
            <w:r>
              <w:rPr>
                <w:rFonts w:hint="eastAsia"/>
                <w:color w:val="auto"/>
                <w:highlight w:val="none"/>
                <w:lang w:eastAsia="zh-CN"/>
              </w:rPr>
              <w:t>）</w:t>
            </w:r>
            <w:r>
              <w:rPr>
                <w:color w:val="auto"/>
                <w:highlight w:val="none"/>
              </w:rPr>
              <w:t>内任意1个月在</w:t>
            </w:r>
            <w:r>
              <w:rPr>
                <w:rFonts w:hint="eastAsia"/>
                <w:color w:val="auto"/>
                <w:highlight w:val="none"/>
                <w:lang w:eastAsia="zh-CN"/>
              </w:rPr>
              <w:t>供应商</w:t>
            </w:r>
            <w:r>
              <w:rPr>
                <w:color w:val="auto"/>
                <w:highlight w:val="none"/>
              </w:rPr>
              <w:t>（</w:t>
            </w:r>
            <w:r>
              <w:rPr>
                <w:rFonts w:ascii="宋体" w:hAnsi="宋体" w:cs="宋体"/>
                <w:color w:val="auto"/>
                <w:szCs w:val="21"/>
                <w:highlight w:val="none"/>
              </w:rPr>
              <w:t>含其上级总公司或分支机构</w:t>
            </w:r>
            <w:r>
              <w:rPr>
                <w:color w:val="auto"/>
                <w:highlight w:val="none"/>
              </w:rPr>
              <w:t>）为其缴纳社会保险的有效凭证复印件</w:t>
            </w:r>
            <w:r>
              <w:rPr>
                <w:rFonts w:ascii="宋体" w:hAnsi="宋体"/>
                <w:color w:val="auto"/>
                <w:szCs w:val="21"/>
                <w:highlight w:val="none"/>
              </w:rPr>
              <w:t>并加盖</w:t>
            </w:r>
            <w:r>
              <w:rPr>
                <w:rFonts w:hint="eastAsia" w:ascii="宋体" w:hAnsi="宋体"/>
                <w:color w:val="auto"/>
                <w:szCs w:val="21"/>
                <w:highlight w:val="none"/>
                <w:lang w:eastAsia="zh-CN"/>
              </w:rPr>
              <w:t>供应商</w:t>
            </w:r>
            <w:r>
              <w:rPr>
                <w:rFonts w:ascii="宋体" w:hAnsi="宋体"/>
                <w:color w:val="auto"/>
                <w:szCs w:val="21"/>
                <w:highlight w:val="none"/>
              </w:rPr>
              <w:t>公章</w:t>
            </w:r>
            <w:r>
              <w:rPr>
                <w:rFonts w:ascii="宋体" w:hAnsi="宋体" w:cs="宋体"/>
                <w:color w:val="auto"/>
                <w:szCs w:val="21"/>
                <w:highlight w:val="none"/>
              </w:rPr>
              <w:t>】</w:t>
            </w:r>
          </w:p>
        </w:tc>
      </w:tr>
      <w:tr w14:paraId="6F59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50E03F4A">
            <w:pPr>
              <w:pStyle w:val="26"/>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40分</w:t>
            </w:r>
            <w:r>
              <w:rPr>
                <w:rFonts w:hint="eastAsia" w:ascii="宋体" w:eastAsia="宋体" w:cs="宋体"/>
                <w:b/>
                <w:bCs/>
                <w:color w:val="auto"/>
                <w:sz w:val="21"/>
                <w:szCs w:val="21"/>
                <w:highlight w:val="none"/>
                <w:lang w:eastAsia="zh-CN"/>
              </w:rPr>
              <w:t>）</w:t>
            </w:r>
          </w:p>
        </w:tc>
      </w:tr>
      <w:tr w14:paraId="7BDE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EEFC322">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24E3457C">
            <w:pPr>
              <w:pageBreakBefore w:val="0"/>
              <w:tabs>
                <w:tab w:val="left" w:pos="312"/>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Ansi="宋体" w:cs="宋体"/>
                <w:color w:val="auto"/>
                <w:szCs w:val="21"/>
                <w:highlight w:val="none"/>
                <w:lang w:bidi="ar"/>
              </w:rPr>
              <w:t>项目实施方案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2430FF3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61AA0FA9">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根据</w:t>
            </w:r>
            <w:r>
              <w:rPr>
                <w:rFonts w:hint="eastAsia" w:hAnsi="宋体" w:cs="宋体"/>
                <w:color w:val="auto"/>
                <w:szCs w:val="21"/>
                <w:highlight w:val="none"/>
                <w:lang w:eastAsia="zh-CN" w:bidi="ar"/>
              </w:rPr>
              <w:t>供应商</w:t>
            </w:r>
            <w:r>
              <w:rPr>
                <w:rFonts w:hAnsi="宋体" w:cs="宋体"/>
                <w:color w:val="auto"/>
                <w:szCs w:val="21"/>
                <w:highlight w:val="none"/>
                <w:lang w:bidi="ar"/>
              </w:rPr>
              <w:t>提供的项目实施方案（包括但不限于人员安排、进度计划、工期保证措施、调试方案等）进行综合评分：</w:t>
            </w:r>
          </w:p>
          <w:p w14:paraId="00FFD653">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（1）项目实施方案提供完整可行，且有具体的工作流程与服务标准说明的，得10分；</w:t>
            </w:r>
          </w:p>
          <w:p w14:paraId="247CA6D1">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 xml:space="preserve">（2）项目实施方案比较完整可行，且有比较具体的工作流程与服务标准说明的，得6分； </w:t>
            </w:r>
          </w:p>
          <w:p w14:paraId="72EF2C46">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（3）项目实施方案基本可行，工作流程与服务标准说明一般，得3分；</w:t>
            </w:r>
          </w:p>
          <w:p w14:paraId="1811DC74">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（4）项目实施方案可行性差，工作流程与服务标准说明内容欠缺，得1分；</w:t>
            </w:r>
          </w:p>
          <w:p w14:paraId="0A6F48A3">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val="zh-CN"/>
              </w:rPr>
            </w:pPr>
            <w:r>
              <w:rPr>
                <w:rFonts w:hAnsi="宋体" w:cs="宋体"/>
                <w:color w:val="auto"/>
                <w:szCs w:val="21"/>
                <w:highlight w:val="none"/>
                <w:lang w:bidi="ar"/>
              </w:rPr>
              <w:t>（5）未提供对应方案的，得0分。</w:t>
            </w:r>
          </w:p>
        </w:tc>
      </w:tr>
      <w:tr w14:paraId="406E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14:paraId="2CA66F4B">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14:paraId="02EDFED1">
            <w:pPr>
              <w:pageBreakBefore w:val="0"/>
              <w:tabs>
                <w:tab w:val="left" w:pos="312"/>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Ansi="宋体" w:cs="宋体"/>
                <w:color w:val="auto"/>
                <w:szCs w:val="21"/>
                <w:highlight w:val="none"/>
                <w:lang w:bidi="ar"/>
              </w:rPr>
              <w:t>项目技术方案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73CC5828">
            <w:pPr>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1A403E57">
            <w:pPr>
              <w:pageBreakBefore w:val="0"/>
              <w:kinsoku/>
              <w:wordWrap/>
              <w:overflowPunct/>
              <w:topLinePunct w:val="0"/>
              <w:autoSpaceDE/>
              <w:autoSpaceDN/>
              <w:bidi w:val="0"/>
              <w:adjustRightInd/>
              <w:snapToGrid w:val="0"/>
              <w:spacing w:line="360" w:lineRule="auto"/>
              <w:textAlignment w:val="auto"/>
              <w:rPr>
                <w:rFonts w:hAnsi="宋体" w:cs="宋体"/>
                <w:color w:val="auto"/>
                <w:szCs w:val="21"/>
                <w:highlight w:val="none"/>
                <w:lang w:bidi="ar"/>
              </w:rPr>
            </w:pPr>
            <w:r>
              <w:rPr>
                <w:rFonts w:hAnsi="宋体" w:cs="宋体"/>
                <w:color w:val="auto"/>
                <w:szCs w:val="21"/>
                <w:highlight w:val="none"/>
                <w:lang w:bidi="ar"/>
              </w:rPr>
              <w:t>根据</w:t>
            </w:r>
            <w:r>
              <w:rPr>
                <w:rFonts w:hint="eastAsia" w:hAnsi="宋体" w:cs="宋体"/>
                <w:color w:val="auto"/>
                <w:szCs w:val="21"/>
                <w:highlight w:val="none"/>
                <w:lang w:eastAsia="zh-CN" w:bidi="ar"/>
              </w:rPr>
              <w:t>供应商</w:t>
            </w:r>
            <w:r>
              <w:rPr>
                <w:rFonts w:hAnsi="宋体" w:cs="宋体"/>
                <w:color w:val="auto"/>
                <w:szCs w:val="21"/>
                <w:highlight w:val="none"/>
                <w:lang w:bidi="ar"/>
              </w:rPr>
              <w:t>提供的项目技术方案（包括但不限于对项目的理解、技术方案、管理方案、日常巡查等）进行综合评分：</w:t>
            </w:r>
          </w:p>
          <w:p w14:paraId="2A66B357">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（1）项目技术方案提供完整可行，且有具体的工作流程与服务标准说明的，得10分；</w:t>
            </w:r>
          </w:p>
          <w:p w14:paraId="666B2278">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 xml:space="preserve">（2）项目技术方案比较完整可行，且有比较具体的工作流程与服务标准说明的，得6分； </w:t>
            </w:r>
          </w:p>
          <w:p w14:paraId="0AE002B0">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（3）项目技术方案基本可行，工作流程与服务标准说明一般，得3分；</w:t>
            </w:r>
          </w:p>
          <w:p w14:paraId="3C0D7B0B">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（4）项目技术方案可行性差，工作流程与服务标准说明内容欠缺，得1分；</w:t>
            </w:r>
          </w:p>
          <w:p w14:paraId="1F87273B">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val="zh-CN"/>
              </w:rPr>
            </w:pPr>
            <w:r>
              <w:rPr>
                <w:rFonts w:hAnsi="宋体" w:cs="宋体"/>
                <w:color w:val="auto"/>
                <w:szCs w:val="21"/>
                <w:highlight w:val="none"/>
                <w:lang w:bidi="ar"/>
              </w:rPr>
              <w:t>（5）未提供对应方案的，得0分。</w:t>
            </w:r>
          </w:p>
        </w:tc>
      </w:tr>
      <w:tr w14:paraId="453C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639EC4B">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3DA1F6B9">
            <w:pPr>
              <w:pageBreakBefore w:val="0"/>
              <w:tabs>
                <w:tab w:val="left" w:pos="312"/>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Ansi="宋体" w:cs="宋体"/>
                <w:color w:val="auto"/>
                <w:szCs w:val="21"/>
                <w:highlight w:val="none"/>
              </w:rPr>
              <w:t>售后服务方案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A3CB215">
            <w:pPr>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2BDB5682">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根据</w:t>
            </w:r>
            <w:r>
              <w:rPr>
                <w:rFonts w:hint="eastAsia" w:hAnsi="宋体" w:cs="宋体"/>
                <w:color w:val="auto"/>
                <w:szCs w:val="21"/>
                <w:highlight w:val="none"/>
                <w:lang w:eastAsia="zh-CN" w:bidi="ar"/>
              </w:rPr>
              <w:t>供应商</w:t>
            </w:r>
            <w:r>
              <w:rPr>
                <w:rFonts w:hAnsi="宋体" w:cs="宋体"/>
                <w:color w:val="auto"/>
                <w:szCs w:val="21"/>
                <w:highlight w:val="none"/>
                <w:lang w:bidi="ar"/>
              </w:rPr>
              <w:t>提供的售后服务方案（包括但不限于售后服务响应、应急服务响应、质量保证体系及措施、服务承诺及培训计划等）进行综合评审。</w:t>
            </w:r>
          </w:p>
          <w:p w14:paraId="79B279CA">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（1）售后服务方案提供完整可行，且有具体的工作流程与服务标准说明的，得10分；</w:t>
            </w:r>
          </w:p>
          <w:p w14:paraId="21D22BE3">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 xml:space="preserve">（2）售后服务方案比较完整可行，且有比较具体的工作流程与服务标准说明的，得6分； </w:t>
            </w:r>
          </w:p>
          <w:p w14:paraId="58D350B8">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（3）售后服务方案基本可行，工作流程与服务标准说明一般，得3分；</w:t>
            </w:r>
          </w:p>
          <w:p w14:paraId="18DB1A5E">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（4）售后服务方案可行性差，工作流程与服务标准说明内容欠缺，得1分；</w:t>
            </w:r>
          </w:p>
          <w:p w14:paraId="6F8832E4">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val="zh-CN"/>
              </w:rPr>
            </w:pPr>
            <w:r>
              <w:rPr>
                <w:rFonts w:hAnsi="宋体" w:cs="宋体"/>
                <w:color w:val="auto"/>
                <w:szCs w:val="21"/>
                <w:highlight w:val="none"/>
                <w:lang w:bidi="ar"/>
              </w:rPr>
              <w:t>（5）未提供对应方案的，得0分。</w:t>
            </w:r>
          </w:p>
        </w:tc>
      </w:tr>
      <w:tr w14:paraId="3C92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B65E024">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1C173ECC">
            <w:pPr>
              <w:pageBreakBefore w:val="0"/>
              <w:tabs>
                <w:tab w:val="left" w:pos="312"/>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2"/>
                <w:sz w:val="21"/>
                <w:szCs w:val="21"/>
                <w:highlight w:val="none"/>
              </w:rPr>
            </w:pPr>
            <w:r>
              <w:rPr>
                <w:rFonts w:hAnsi="宋体" w:cs="宋体"/>
                <w:color w:val="auto"/>
                <w:szCs w:val="21"/>
                <w:highlight w:val="none"/>
              </w:rPr>
              <w:t>维护方案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502E41F7">
            <w:pPr>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C472BC0">
            <w:pPr>
              <w:pageBreakBefore w:val="0"/>
              <w:kinsoku/>
              <w:wordWrap/>
              <w:overflowPunct/>
              <w:topLinePunct w:val="0"/>
              <w:autoSpaceDE/>
              <w:autoSpaceDN/>
              <w:bidi w:val="0"/>
              <w:adjustRightInd/>
              <w:spacing w:line="360" w:lineRule="auto"/>
              <w:textAlignment w:val="auto"/>
              <w:rPr>
                <w:color w:val="auto"/>
                <w:highlight w:val="none"/>
              </w:rPr>
            </w:pPr>
            <w:r>
              <w:rPr>
                <w:rFonts w:hAnsi="宋体" w:cs="宋体"/>
                <w:color w:val="auto"/>
                <w:szCs w:val="21"/>
                <w:highlight w:val="none"/>
                <w:lang w:bidi="ar"/>
              </w:rPr>
              <w:t>根据</w:t>
            </w:r>
            <w:r>
              <w:rPr>
                <w:rFonts w:hint="eastAsia" w:hAnsi="宋体" w:cs="宋体"/>
                <w:color w:val="auto"/>
                <w:szCs w:val="21"/>
                <w:highlight w:val="none"/>
                <w:lang w:eastAsia="zh-CN" w:bidi="ar"/>
              </w:rPr>
              <w:t>供应商</w:t>
            </w:r>
            <w:r>
              <w:rPr>
                <w:rFonts w:hAnsi="宋体" w:cs="宋体"/>
                <w:color w:val="auto"/>
                <w:szCs w:val="21"/>
                <w:highlight w:val="none"/>
                <w:lang w:bidi="ar"/>
              </w:rPr>
              <w:t>提供的维护方案（包括但不限于日常维护、安全运维、故障处理、运维考核等）进行综合评审：</w:t>
            </w:r>
          </w:p>
          <w:p w14:paraId="187C34FA">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（1）维护服务方案提供完整可行，且有具体的工作流程与服务标准说明的，得10分；</w:t>
            </w:r>
          </w:p>
          <w:p w14:paraId="6F83F4EF">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 xml:space="preserve">（2）维护服务方案比较完整可行，且有比较具体的工作流程与服务标准说明的，得6分； </w:t>
            </w:r>
          </w:p>
          <w:p w14:paraId="328AE832">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（3）维护服务方案基本可行，工作流程与服务标准说明一般，得3分；</w:t>
            </w:r>
          </w:p>
          <w:p w14:paraId="667B5AA1">
            <w:pPr>
              <w:pageBreakBefore w:val="0"/>
              <w:kinsoku/>
              <w:wordWrap/>
              <w:overflowPunct/>
              <w:topLinePunct w:val="0"/>
              <w:autoSpaceDE/>
              <w:autoSpaceDN/>
              <w:bidi w:val="0"/>
              <w:adjustRightInd/>
              <w:spacing w:line="360" w:lineRule="auto"/>
              <w:textAlignment w:val="auto"/>
              <w:rPr>
                <w:rFonts w:hAnsi="宋体" w:cs="宋体"/>
                <w:color w:val="auto"/>
                <w:szCs w:val="21"/>
                <w:highlight w:val="none"/>
                <w:lang w:bidi="ar"/>
              </w:rPr>
            </w:pPr>
            <w:r>
              <w:rPr>
                <w:rFonts w:hAnsi="宋体" w:cs="宋体"/>
                <w:color w:val="auto"/>
                <w:szCs w:val="21"/>
                <w:highlight w:val="none"/>
                <w:lang w:bidi="ar"/>
              </w:rPr>
              <w:t>（4）维护服务方案可行性差，工作流程与服务标准说明内容欠缺，得1分；</w:t>
            </w:r>
          </w:p>
          <w:p w14:paraId="3D17DC5C">
            <w:pPr>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lang w:val="zh-CN"/>
              </w:rPr>
            </w:pPr>
            <w:r>
              <w:rPr>
                <w:rFonts w:hAnsi="宋体" w:cs="宋体"/>
                <w:color w:val="auto"/>
                <w:szCs w:val="21"/>
                <w:highlight w:val="none"/>
                <w:lang w:bidi="ar"/>
              </w:rPr>
              <w:t>（5）未提供对应方案的，得0分。</w:t>
            </w:r>
          </w:p>
        </w:tc>
      </w:tr>
      <w:tr w14:paraId="3C57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705726BB">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14:paraId="5F25B71C">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14:paraId="77ED7C1A">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tc>
      </w:tr>
      <w:tr w14:paraId="7296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3C268F51">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14:paraId="3718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79EDCDB">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14:paraId="728344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5E8F50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0</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14:paraId="17077A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14:paraId="20F49E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14:paraId="0B444CA3">
      <w:pPr>
        <w:rPr>
          <w:rFonts w:hint="default"/>
          <w:color w:val="auto"/>
          <w:highlight w:val="none"/>
          <w:lang w:val="en-US" w:eastAsia="zh-CN"/>
        </w:rPr>
      </w:pPr>
      <w:r>
        <w:rPr>
          <w:rFonts w:hint="default"/>
          <w:color w:val="auto"/>
          <w:highlight w:val="none"/>
          <w:lang w:val="en-US" w:eastAsia="zh-CN"/>
        </w:rPr>
        <w:br w:type="page"/>
      </w:r>
    </w:p>
    <w:p w14:paraId="661605C0">
      <w:pPr>
        <w:pStyle w:val="2"/>
        <w:numPr>
          <w:ilvl w:val="0"/>
          <w:numId w:val="2"/>
        </w:numPr>
        <w:bidi w:val="0"/>
        <w:ind w:left="0" w:leftChars="0" w:firstLine="0" w:firstLineChars="0"/>
        <w:rPr>
          <w:rFonts w:hint="eastAsia"/>
          <w:color w:val="auto"/>
          <w:highlight w:val="none"/>
          <w:lang w:val="en-US" w:eastAsia="zh-CN"/>
        </w:rPr>
      </w:pPr>
      <w:bookmarkStart w:id="225" w:name="_Toc20102"/>
      <w:r>
        <w:rPr>
          <w:rFonts w:hint="eastAsia"/>
          <w:color w:val="auto"/>
          <w:highlight w:val="none"/>
          <w:lang w:val="en-US" w:eastAsia="zh-CN"/>
        </w:rPr>
        <w:t>合同文本参考格式</w:t>
      </w:r>
      <w:bookmarkEnd w:id="225"/>
    </w:p>
    <w:p w14:paraId="7EA6A0FF">
      <w:pPr>
        <w:jc w:val="center"/>
        <w:outlineLvl w:val="1"/>
        <w:rPr>
          <w:rFonts w:hint="eastAsia"/>
          <w:color w:val="auto"/>
          <w:sz w:val="18"/>
          <w:szCs w:val="21"/>
          <w:highlight w:val="none"/>
          <w:lang w:val="en-US" w:eastAsia="zh-CN"/>
        </w:rPr>
      </w:pPr>
      <w:bookmarkStart w:id="226" w:name="_Toc20453"/>
      <w:bookmarkStart w:id="227" w:name="_Toc1541"/>
      <w:bookmarkStart w:id="228" w:name="_Toc27897"/>
      <w:bookmarkStart w:id="229" w:name="_Toc25458"/>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磋商文件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26"/>
      <w:bookmarkEnd w:id="227"/>
      <w:bookmarkEnd w:id="228"/>
      <w:bookmarkEnd w:id="229"/>
    </w:p>
    <w:p w14:paraId="0FA661C5">
      <w:pPr>
        <w:pStyle w:val="26"/>
        <w:ind w:left="210" w:firstLine="0" w:firstLineChars="0"/>
        <w:jc w:val="center"/>
        <w:rPr>
          <w:rFonts w:ascii="宋体" w:eastAsia="宋体"/>
          <w:b/>
          <w:color w:val="auto"/>
          <w:sz w:val="32"/>
          <w:szCs w:val="32"/>
          <w:highlight w:val="none"/>
        </w:rPr>
      </w:pPr>
    </w:p>
    <w:p w14:paraId="03324E81">
      <w:pPr>
        <w:pStyle w:val="26"/>
        <w:spacing w:line="240" w:lineRule="auto"/>
        <w:ind w:left="210" w:firstLine="0" w:firstLineChars="0"/>
        <w:jc w:val="center"/>
        <w:rPr>
          <w:rFonts w:hint="eastAsia" w:ascii="宋体" w:hAnsi="宋体" w:eastAsia="宋体" w:cs="宋体"/>
          <w:b/>
          <w:color w:val="auto"/>
          <w:sz w:val="48"/>
          <w:highlight w:val="none"/>
        </w:rPr>
      </w:pPr>
    </w:p>
    <w:p w14:paraId="6DDAFBE2">
      <w:pPr>
        <w:pStyle w:val="26"/>
        <w:spacing w:line="240" w:lineRule="auto"/>
        <w:ind w:left="210" w:firstLine="0" w:firstLineChars="0"/>
        <w:jc w:val="center"/>
        <w:rPr>
          <w:rFonts w:hint="eastAsia" w:ascii="宋体" w:hAnsi="宋体" w:eastAsia="宋体" w:cs="宋体"/>
          <w:b/>
          <w:color w:val="auto"/>
          <w:sz w:val="48"/>
          <w:highlight w:val="none"/>
        </w:rPr>
      </w:pPr>
    </w:p>
    <w:p w14:paraId="0153F589">
      <w:pPr>
        <w:pStyle w:val="26"/>
        <w:spacing w:line="240" w:lineRule="auto"/>
        <w:ind w:left="210" w:firstLine="0" w:firstLineChars="0"/>
        <w:jc w:val="center"/>
        <w:rPr>
          <w:rFonts w:hint="eastAsia" w:ascii="宋体" w:hAnsi="宋体" w:eastAsia="宋体" w:cs="宋体"/>
          <w:b/>
          <w:color w:val="auto"/>
          <w:sz w:val="48"/>
          <w:highlight w:val="none"/>
        </w:rPr>
      </w:pPr>
    </w:p>
    <w:p w14:paraId="44015071">
      <w:pPr>
        <w:pStyle w:val="26"/>
        <w:spacing w:line="240" w:lineRule="auto"/>
        <w:ind w:left="210" w:firstLine="0" w:firstLineChars="0"/>
        <w:jc w:val="center"/>
        <w:rPr>
          <w:rFonts w:hint="eastAsia" w:ascii="宋体" w:hAnsi="宋体" w:eastAsia="宋体" w:cs="宋体"/>
          <w:b/>
          <w:color w:val="auto"/>
          <w:sz w:val="48"/>
          <w:highlight w:val="none"/>
        </w:rPr>
      </w:pPr>
    </w:p>
    <w:p w14:paraId="5C943364">
      <w:pPr>
        <w:pStyle w:val="26"/>
        <w:spacing w:line="240" w:lineRule="auto"/>
        <w:ind w:left="210" w:firstLine="0" w:firstLineChars="0"/>
        <w:jc w:val="center"/>
        <w:rPr>
          <w:rFonts w:hint="eastAsia" w:ascii="宋体" w:hAnsi="宋体" w:eastAsia="宋体" w:cs="宋体"/>
          <w:b/>
          <w:color w:val="auto"/>
          <w:sz w:val="48"/>
          <w:highlight w:val="none"/>
        </w:rPr>
      </w:pPr>
      <w:r>
        <w:rPr>
          <w:rFonts w:hint="eastAsia" w:ascii="宋体" w:hAnsi="宋体" w:eastAsia="宋体" w:cs="宋体"/>
          <w:b/>
          <w:color w:val="auto"/>
          <w:sz w:val="48"/>
          <w:highlight w:val="none"/>
        </w:rPr>
        <w:t>采</w:t>
      </w:r>
      <w:r>
        <w:rPr>
          <w:rFonts w:hint="eastAsia" w:ascii="宋体" w:eastAsia="宋体" w:cs="宋体"/>
          <w:b/>
          <w:color w:val="auto"/>
          <w:sz w:val="48"/>
          <w:highlight w:val="none"/>
          <w:lang w:val="en-US" w:eastAsia="zh-CN"/>
        </w:rPr>
        <w:t xml:space="preserve">  </w:t>
      </w:r>
      <w:r>
        <w:rPr>
          <w:rFonts w:hint="eastAsia" w:ascii="宋体" w:hAnsi="宋体" w:eastAsia="宋体" w:cs="宋体"/>
          <w:b/>
          <w:color w:val="auto"/>
          <w:sz w:val="48"/>
          <w:highlight w:val="none"/>
        </w:rPr>
        <w:t>购</w:t>
      </w:r>
      <w:r>
        <w:rPr>
          <w:rFonts w:hint="eastAsia" w:ascii="宋体" w:eastAsia="宋体" w:cs="宋体"/>
          <w:b/>
          <w:color w:val="auto"/>
          <w:sz w:val="48"/>
          <w:highlight w:val="none"/>
          <w:lang w:val="en-US" w:eastAsia="zh-CN"/>
        </w:rPr>
        <w:t xml:space="preserve">  </w:t>
      </w:r>
      <w:r>
        <w:rPr>
          <w:rFonts w:hint="eastAsia" w:ascii="宋体" w:hAnsi="宋体" w:eastAsia="宋体" w:cs="宋体"/>
          <w:b/>
          <w:color w:val="auto"/>
          <w:sz w:val="48"/>
          <w:highlight w:val="none"/>
        </w:rPr>
        <w:t>合</w:t>
      </w:r>
      <w:r>
        <w:rPr>
          <w:rFonts w:hint="eastAsia" w:ascii="宋体" w:eastAsia="宋体" w:cs="宋体"/>
          <w:b/>
          <w:color w:val="auto"/>
          <w:sz w:val="48"/>
          <w:highlight w:val="none"/>
          <w:lang w:val="en-US" w:eastAsia="zh-CN"/>
        </w:rPr>
        <w:t xml:space="preserve">  </w:t>
      </w:r>
      <w:r>
        <w:rPr>
          <w:rFonts w:hint="eastAsia" w:ascii="宋体" w:hAnsi="宋体" w:eastAsia="宋体" w:cs="宋体"/>
          <w:b/>
          <w:color w:val="auto"/>
          <w:sz w:val="48"/>
          <w:highlight w:val="none"/>
        </w:rPr>
        <w:t>同</w:t>
      </w:r>
      <w:r>
        <w:rPr>
          <w:rFonts w:hint="eastAsia" w:ascii="宋体" w:eastAsia="宋体" w:cs="宋体"/>
          <w:b/>
          <w:color w:val="auto"/>
          <w:sz w:val="48"/>
          <w:highlight w:val="none"/>
          <w:lang w:val="en-US" w:eastAsia="zh-CN"/>
        </w:rPr>
        <w:t xml:space="preserve">  </w:t>
      </w:r>
      <w:r>
        <w:rPr>
          <w:rFonts w:hint="eastAsia" w:ascii="宋体" w:hAnsi="宋体" w:eastAsia="宋体" w:cs="宋体"/>
          <w:b/>
          <w:color w:val="auto"/>
          <w:sz w:val="48"/>
          <w:highlight w:val="none"/>
        </w:rPr>
        <w:t>书</w:t>
      </w:r>
    </w:p>
    <w:p w14:paraId="21459631">
      <w:pPr>
        <w:jc w:val="center"/>
        <w:rPr>
          <w:rFonts w:hint="eastAsia" w:ascii="宋体" w:hAnsi="宋体" w:eastAsia="宋体" w:cs="宋体"/>
          <w:color w:val="auto"/>
          <w:highlight w:val="none"/>
          <w:lang w:eastAsia="zh-CN"/>
        </w:rPr>
      </w:pPr>
    </w:p>
    <w:p w14:paraId="5F25BF19">
      <w:pPr>
        <w:pStyle w:val="3"/>
        <w:rPr>
          <w:rFonts w:hint="eastAsia"/>
          <w:color w:val="auto"/>
          <w:highlight w:val="none"/>
          <w:lang w:eastAsia="zh-CN"/>
        </w:rPr>
      </w:pPr>
    </w:p>
    <w:p w14:paraId="0C357DE6">
      <w:pPr>
        <w:pStyle w:val="3"/>
        <w:rPr>
          <w:rFonts w:hint="eastAsia"/>
          <w:color w:val="auto"/>
          <w:highlight w:val="none"/>
          <w:lang w:eastAsia="zh-CN"/>
        </w:rPr>
      </w:pPr>
    </w:p>
    <w:p w14:paraId="40FBB301">
      <w:pPr>
        <w:pStyle w:val="3"/>
        <w:rPr>
          <w:rFonts w:hint="eastAsia"/>
          <w:color w:val="auto"/>
          <w:highlight w:val="none"/>
          <w:lang w:eastAsia="zh-CN"/>
        </w:rPr>
      </w:pPr>
    </w:p>
    <w:p w14:paraId="05A75905">
      <w:pPr>
        <w:pStyle w:val="3"/>
        <w:rPr>
          <w:rFonts w:hint="eastAsia"/>
          <w:color w:val="auto"/>
          <w:highlight w:val="none"/>
          <w:lang w:eastAsia="zh-CN"/>
        </w:rPr>
      </w:pPr>
    </w:p>
    <w:p w14:paraId="19737CBB">
      <w:pPr>
        <w:jc w:val="center"/>
        <w:rPr>
          <w:rFonts w:hint="eastAsia" w:ascii="宋体" w:hAnsi="宋体" w:eastAsia="宋体" w:cs="宋体"/>
          <w:color w:val="auto"/>
          <w:highlight w:val="none"/>
        </w:rPr>
      </w:pPr>
    </w:p>
    <w:p w14:paraId="4133A6AE">
      <w:pPr>
        <w:jc w:val="center"/>
        <w:rPr>
          <w:rFonts w:hint="eastAsia" w:ascii="宋体" w:hAnsi="宋体" w:eastAsia="宋体" w:cs="宋体"/>
          <w:color w:val="auto"/>
          <w:highlight w:val="none"/>
        </w:rPr>
      </w:pPr>
    </w:p>
    <w:p w14:paraId="3D80851B">
      <w:pPr>
        <w:jc w:val="center"/>
        <w:rPr>
          <w:rFonts w:hint="eastAsia" w:ascii="宋体" w:hAnsi="宋体" w:eastAsia="宋体" w:cs="宋体"/>
          <w:color w:val="auto"/>
          <w:highlight w:val="none"/>
        </w:rPr>
      </w:pPr>
    </w:p>
    <w:p w14:paraId="52148705">
      <w:pPr>
        <w:jc w:val="center"/>
        <w:rPr>
          <w:rFonts w:hint="eastAsia" w:ascii="宋体" w:hAnsi="宋体" w:eastAsia="宋体" w:cs="宋体"/>
          <w:color w:val="auto"/>
          <w:highlight w:val="none"/>
        </w:rPr>
      </w:pPr>
    </w:p>
    <w:p w14:paraId="198F34AC">
      <w:pPr>
        <w:ind w:left="0" w:leftChars="0" w:firstLine="1540" w:firstLineChars="550"/>
        <w:rPr>
          <w:rFonts w:hint="eastAsia" w:ascii="宋体" w:hAnsi="宋体" w:eastAsia="宋体" w:cs="宋体"/>
          <w:color w:val="auto"/>
          <w:sz w:val="28"/>
          <w:highlight w:val="none"/>
        </w:rPr>
      </w:pPr>
    </w:p>
    <w:p w14:paraId="35D70D65">
      <w:pPr>
        <w:ind w:left="0" w:leftChars="0" w:firstLine="1540" w:firstLineChars="550"/>
        <w:rPr>
          <w:rFonts w:hint="eastAsia" w:ascii="宋体" w:hAnsi="宋体" w:eastAsia="宋体" w:cs="宋体"/>
          <w:color w:val="auto"/>
          <w:sz w:val="28"/>
          <w:highlight w:val="none"/>
        </w:rPr>
      </w:pPr>
    </w:p>
    <w:p w14:paraId="3EFDDD77">
      <w:pPr>
        <w:ind w:left="0" w:leftChars="0" w:firstLine="1155" w:firstLineChars="550"/>
        <w:rPr>
          <w:rFonts w:hint="eastAsia" w:ascii="宋体" w:hAnsi="宋体" w:eastAsia="宋体" w:cs="宋体"/>
          <w:color w:val="auto"/>
          <w:highlight w:val="none"/>
        </w:rPr>
      </w:pPr>
    </w:p>
    <w:p w14:paraId="07F1796E">
      <w:pPr>
        <w:ind w:left="0" w:leftChars="0" w:firstLine="1155" w:firstLineChars="550"/>
        <w:rPr>
          <w:rFonts w:hint="eastAsia" w:ascii="宋体" w:hAnsi="宋体" w:eastAsia="宋体" w:cs="宋体"/>
          <w:color w:val="auto"/>
          <w:highlight w:val="none"/>
        </w:rPr>
      </w:pPr>
    </w:p>
    <w:p w14:paraId="2459CE28">
      <w:pPr>
        <w:ind w:left="0" w:leftChars="0" w:firstLine="1540" w:firstLineChars="550"/>
        <w:rPr>
          <w:rFonts w:hint="eastAsia" w:ascii="宋体" w:hAnsi="宋体" w:eastAsia="宋体" w:cs="宋体"/>
          <w:color w:val="auto"/>
          <w:highlight w:val="none"/>
        </w:rPr>
      </w:pPr>
      <w:r>
        <w:rPr>
          <w:rFonts w:hint="eastAsia" w:ascii="宋体" w:hAnsi="宋体" w:eastAsia="宋体" w:cs="宋体"/>
          <w:color w:val="auto"/>
          <w:sz w:val="28"/>
          <w:highlight w:val="none"/>
        </w:rPr>
        <w:t>项目编号：</w:t>
      </w:r>
      <w:r>
        <w:rPr>
          <w:rFonts w:hint="eastAsia" w:ascii="宋体" w:hAnsi="宋体" w:eastAsia="宋体" w:cs="宋体"/>
          <w:color w:val="auto"/>
          <w:highlight w:val="none"/>
          <w:u w:val="single"/>
        </w:rPr>
        <w:t xml:space="preserve">                               </w:t>
      </w:r>
    </w:p>
    <w:p w14:paraId="0BBB7C83">
      <w:pPr>
        <w:ind w:left="0" w:leftChars="0" w:firstLine="1485" w:firstLineChars="550"/>
        <w:rPr>
          <w:rFonts w:hint="eastAsia" w:ascii="宋体" w:hAnsi="宋体" w:eastAsia="宋体" w:cs="宋体"/>
          <w:color w:val="auto"/>
          <w:highlight w:val="none"/>
        </w:rPr>
      </w:pPr>
      <w:r>
        <w:rPr>
          <w:rFonts w:hint="eastAsia" w:ascii="宋体" w:hAnsi="宋体" w:eastAsia="宋体" w:cs="宋体"/>
          <w:color w:val="auto"/>
          <w:sz w:val="27"/>
          <w:highlight w:val="none"/>
        </w:rPr>
        <w:t xml:space="preserve"> </w:t>
      </w:r>
    </w:p>
    <w:p w14:paraId="07924C82">
      <w:pPr>
        <w:ind w:left="0" w:leftChars="0" w:firstLine="1540" w:firstLineChars="550"/>
        <w:rPr>
          <w:rFonts w:hint="eastAsia" w:ascii="宋体" w:hAnsi="宋体" w:eastAsia="宋体" w:cs="宋体"/>
          <w:color w:val="auto"/>
          <w:highlight w:val="none"/>
        </w:rPr>
      </w:pPr>
      <w:r>
        <w:rPr>
          <w:rFonts w:hint="eastAsia" w:ascii="宋体" w:hAnsi="宋体" w:eastAsia="宋体" w:cs="宋体"/>
          <w:color w:val="auto"/>
          <w:sz w:val="28"/>
          <w:highlight w:val="none"/>
        </w:rPr>
        <w:t>项目名称：</w:t>
      </w:r>
      <w:r>
        <w:rPr>
          <w:rFonts w:hint="eastAsia" w:ascii="宋体" w:hAnsi="宋体" w:eastAsia="宋体" w:cs="宋体"/>
          <w:color w:val="auto"/>
          <w:highlight w:val="none"/>
          <w:u w:val="single"/>
        </w:rPr>
        <w:t xml:space="preserve">                             </w:t>
      </w:r>
    </w:p>
    <w:p w14:paraId="25E4638E">
      <w:pPr>
        <w:widowControl/>
        <w:jc w:val="left"/>
        <w:rPr>
          <w:rFonts w:ascii="宋体" w:hAnsi="宋体" w:cs="仿宋"/>
          <w:b/>
          <w:color w:val="auto"/>
          <w:sz w:val="24"/>
          <w:highlight w:val="none"/>
        </w:rPr>
      </w:pPr>
      <w:r>
        <w:rPr>
          <w:rFonts w:ascii="宋体" w:hAnsi="宋体" w:cs="仿宋"/>
          <w:b/>
          <w:color w:val="auto"/>
          <w:sz w:val="24"/>
          <w:highlight w:val="none"/>
        </w:rPr>
        <w:br w:type="page"/>
      </w:r>
    </w:p>
    <w:p w14:paraId="0EE823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bidi="ar-SA"/>
        </w:rPr>
        <w:t>甲方</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3710DC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bidi="ar-SA"/>
        </w:rPr>
        <w:t>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传真</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地址</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3AE5A0B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乙方</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782FBB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Calibri" w:hAnsi="Calibri" w:eastAsia="宋体" w:cs="Times New Roman"/>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传真</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地址</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16B623BC">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color w:val="auto"/>
          <w:kern w:val="2"/>
          <w:sz w:val="21"/>
          <w:szCs w:val="24"/>
          <w:highlight w:val="none"/>
          <w:lang w:val="en-US" w:eastAsia="zh-CN" w:bidi="ar-SA"/>
        </w:rPr>
      </w:pPr>
    </w:p>
    <w:p w14:paraId="0F579EB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eastAsia="zh-CN" w:bidi="ar-SA"/>
        </w:rPr>
        <w:t>根据</w:t>
      </w:r>
      <w:r>
        <w:rPr>
          <w:rFonts w:hint="eastAsia"/>
          <w:color w:val="auto"/>
          <w:highlight w:val="none"/>
          <w:u w:val="single"/>
          <w:lang w:val="en-US" w:eastAsia="zh-CN"/>
        </w:rPr>
        <w:t>田边村慧眼视频运维服务采购项目</w:t>
      </w:r>
      <w:r>
        <w:rPr>
          <w:rFonts w:hint="eastAsia" w:ascii="Calibri" w:hAnsi="Calibri" w:eastAsia="宋体" w:cs="Times New Roman"/>
          <w:color w:val="auto"/>
          <w:kern w:val="2"/>
          <w:sz w:val="21"/>
          <w:szCs w:val="24"/>
          <w:highlight w:val="none"/>
          <w:lang w:val="en-US" w:bidi="ar-SA"/>
        </w:rPr>
        <w:t>的采购结果，按照《中华人民共和国民法典</w:t>
      </w:r>
      <w:r>
        <w:rPr>
          <w:rFonts w:hint="eastAsia" w:ascii="Calibri" w:hAnsi="Calibri" w:eastAsia="宋体" w:cs="Times New Roman"/>
          <w:color w:val="auto"/>
          <w:kern w:val="2"/>
          <w:sz w:val="21"/>
          <w:szCs w:val="24"/>
          <w:highlight w:val="none"/>
          <w:lang w:val="en-US" w:eastAsia="zh-CN" w:bidi="ar-SA"/>
        </w:rPr>
        <w:t>（合同编）</w:t>
      </w:r>
      <w:r>
        <w:rPr>
          <w:rFonts w:hint="eastAsia" w:ascii="Calibri" w:hAnsi="Calibri" w:eastAsia="宋体" w:cs="Times New Roman"/>
          <w:color w:val="auto"/>
          <w:kern w:val="2"/>
          <w:sz w:val="21"/>
          <w:szCs w:val="24"/>
          <w:highlight w:val="none"/>
          <w:lang w:val="en-US" w:bidi="ar-SA"/>
        </w:rPr>
        <w:t>》的规定，经双方协商，本着平等互利和诚实信用的原则，一致同意遵守本合</w:t>
      </w:r>
      <w:r>
        <w:rPr>
          <w:rFonts w:hint="eastAsia" w:ascii="Calibri" w:hAnsi="Calibri" w:eastAsia="宋体" w:cs="Times New Roman"/>
          <w:color w:val="auto"/>
          <w:kern w:val="2"/>
          <w:sz w:val="21"/>
          <w:szCs w:val="24"/>
          <w:highlight w:val="none"/>
          <w:lang w:val="en-US" w:eastAsia="zh-CN" w:bidi="ar-SA"/>
        </w:rPr>
        <w:t>同</w:t>
      </w:r>
      <w:r>
        <w:rPr>
          <w:rFonts w:hint="eastAsia" w:ascii="Calibri" w:hAnsi="Calibri" w:eastAsia="宋体" w:cs="Times New Roman"/>
          <w:color w:val="auto"/>
          <w:kern w:val="2"/>
          <w:sz w:val="21"/>
          <w:szCs w:val="24"/>
          <w:highlight w:val="none"/>
          <w:lang w:val="en-US" w:bidi="ar-SA"/>
        </w:rPr>
        <w:t>如下。</w:t>
      </w:r>
    </w:p>
    <w:p w14:paraId="7F04F06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48E4E29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r>
        <w:rPr>
          <w:rFonts w:hint="eastAsia" w:ascii="Calibri" w:hAnsi="Calibri" w:eastAsia="宋体" w:cs="Times New Roman"/>
          <w:b/>
          <w:bCs/>
          <w:color w:val="auto"/>
          <w:kern w:val="2"/>
          <w:sz w:val="21"/>
          <w:szCs w:val="24"/>
          <w:highlight w:val="none"/>
          <w:lang w:val="en-US" w:bidi="ar-SA"/>
        </w:rPr>
        <w:t>一</w:t>
      </w:r>
      <w:r>
        <w:rPr>
          <w:rFonts w:hint="eastAsia" w:ascii="Calibri" w:hAnsi="Calibri" w:eastAsia="宋体" w:cs="Times New Roman"/>
          <w:b/>
          <w:bCs/>
          <w:color w:val="auto"/>
          <w:kern w:val="2"/>
          <w:sz w:val="21"/>
          <w:szCs w:val="24"/>
          <w:highlight w:val="none"/>
          <w:lang w:val="en-US" w:eastAsia="zh-CN" w:bidi="ar-SA"/>
        </w:rPr>
        <w:t>、</w:t>
      </w:r>
      <w:r>
        <w:rPr>
          <w:rFonts w:hint="eastAsia" w:ascii="Calibri" w:hAnsi="Calibri" w:eastAsia="宋体" w:cs="Times New Roman"/>
          <w:b/>
          <w:bCs/>
          <w:color w:val="auto"/>
          <w:kern w:val="2"/>
          <w:sz w:val="21"/>
          <w:szCs w:val="24"/>
          <w:highlight w:val="none"/>
          <w:lang w:val="en-US" w:bidi="ar-SA"/>
        </w:rPr>
        <w:t>合</w:t>
      </w:r>
      <w:r>
        <w:rPr>
          <w:rFonts w:hint="eastAsia" w:ascii="Calibri" w:hAnsi="Calibri" w:eastAsia="宋体" w:cs="Times New Roman"/>
          <w:b/>
          <w:bCs/>
          <w:color w:val="auto"/>
          <w:kern w:val="2"/>
          <w:sz w:val="21"/>
          <w:szCs w:val="24"/>
          <w:highlight w:val="none"/>
          <w:lang w:val="en-US" w:eastAsia="zh-CN" w:bidi="ar-SA"/>
        </w:rPr>
        <w:t>同</w:t>
      </w:r>
      <w:r>
        <w:rPr>
          <w:rFonts w:hint="eastAsia" w:ascii="Calibri" w:hAnsi="Calibri" w:eastAsia="宋体" w:cs="Times New Roman"/>
          <w:b/>
          <w:bCs/>
          <w:color w:val="auto"/>
          <w:kern w:val="2"/>
          <w:sz w:val="21"/>
          <w:szCs w:val="24"/>
          <w:highlight w:val="none"/>
          <w:lang w:val="en-US" w:bidi="ar-SA"/>
        </w:rPr>
        <w:t>金额</w:t>
      </w:r>
    </w:p>
    <w:p w14:paraId="70D693E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bidi="ar-SA"/>
        </w:rPr>
        <w:t>合同金额为</w:t>
      </w:r>
      <w:r>
        <w:rPr>
          <w:rFonts w:hint="eastAsia" w:ascii="Calibri" w:hAnsi="Calibri" w:eastAsia="宋体" w:cs="Times New Roman"/>
          <w:color w:val="auto"/>
          <w:kern w:val="2"/>
          <w:sz w:val="21"/>
          <w:szCs w:val="24"/>
          <w:highlight w:val="none"/>
          <w:lang w:val="en-US" w:eastAsia="zh-CN" w:bidi="ar-SA"/>
        </w:rPr>
        <w:t>（大写）：</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元</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元</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人民币。</w:t>
      </w:r>
    </w:p>
    <w:p w14:paraId="45702B9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2355545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bidi="ar-SA"/>
        </w:rPr>
        <w:t>二</w:t>
      </w:r>
      <w:r>
        <w:rPr>
          <w:rFonts w:hint="eastAsia" w:ascii="Calibri" w:hAnsi="Calibri" w:eastAsia="宋体" w:cs="Times New Roman"/>
          <w:b/>
          <w:bCs/>
          <w:color w:val="auto"/>
          <w:kern w:val="2"/>
          <w:sz w:val="21"/>
          <w:szCs w:val="24"/>
          <w:highlight w:val="none"/>
          <w:lang w:val="en-US" w:eastAsia="zh-CN" w:bidi="ar-SA"/>
        </w:rPr>
        <w:t>、</w:t>
      </w:r>
      <w:r>
        <w:rPr>
          <w:rFonts w:hint="eastAsia" w:ascii="Calibri" w:hAnsi="Calibri" w:eastAsia="宋体" w:cs="Times New Roman"/>
          <w:b/>
          <w:bCs/>
          <w:color w:val="auto"/>
          <w:kern w:val="2"/>
          <w:sz w:val="21"/>
          <w:szCs w:val="24"/>
          <w:highlight w:val="none"/>
          <w:lang w:val="en-US" w:bidi="ar-SA"/>
        </w:rPr>
        <w:t>服务</w:t>
      </w:r>
      <w:r>
        <w:rPr>
          <w:rFonts w:hint="eastAsia" w:ascii="Calibri" w:hAnsi="Calibri" w:eastAsia="宋体" w:cs="Times New Roman"/>
          <w:b/>
          <w:bCs/>
          <w:color w:val="auto"/>
          <w:kern w:val="2"/>
          <w:sz w:val="21"/>
          <w:szCs w:val="24"/>
          <w:highlight w:val="none"/>
          <w:lang w:val="en-US" w:eastAsia="zh-CN" w:bidi="ar-SA"/>
        </w:rPr>
        <w:t>范围及要求</w:t>
      </w:r>
    </w:p>
    <w:p w14:paraId="64F388C9">
      <w:pPr>
        <w:spacing w:after="0"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具体详见磋商文件《用户需求书》。</w:t>
      </w:r>
    </w:p>
    <w:p w14:paraId="115B494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14BECE9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bidi="ar-SA"/>
        </w:rPr>
        <w:t>三、甲</w:t>
      </w:r>
      <w:r>
        <w:rPr>
          <w:rFonts w:hint="eastAsia" w:ascii="Calibri" w:hAnsi="Calibri" w:eastAsia="宋体" w:cs="Times New Roman"/>
          <w:b/>
          <w:bCs/>
          <w:color w:val="auto"/>
          <w:kern w:val="2"/>
          <w:sz w:val="21"/>
          <w:szCs w:val="24"/>
          <w:highlight w:val="none"/>
          <w:lang w:val="en-US" w:eastAsia="zh-CN" w:bidi="ar-SA"/>
        </w:rPr>
        <w:t>方</w:t>
      </w:r>
      <w:r>
        <w:rPr>
          <w:rFonts w:hint="eastAsia" w:ascii="Calibri" w:hAnsi="Calibri" w:eastAsia="宋体" w:cs="Times New Roman"/>
          <w:b/>
          <w:bCs/>
          <w:color w:val="auto"/>
          <w:kern w:val="2"/>
          <w:sz w:val="21"/>
          <w:szCs w:val="24"/>
          <w:highlight w:val="none"/>
          <w:lang w:val="en-US" w:bidi="ar-SA"/>
        </w:rPr>
        <w:t>乙方的权利和</w:t>
      </w:r>
      <w:r>
        <w:rPr>
          <w:rFonts w:hint="eastAsia" w:ascii="Calibri" w:hAnsi="Calibri" w:eastAsia="宋体" w:cs="Times New Roman"/>
          <w:b/>
          <w:bCs/>
          <w:color w:val="auto"/>
          <w:kern w:val="2"/>
          <w:sz w:val="21"/>
          <w:szCs w:val="24"/>
          <w:highlight w:val="none"/>
          <w:lang w:val="en-US" w:eastAsia="zh-CN" w:bidi="ar-SA"/>
        </w:rPr>
        <w:t>义务</w:t>
      </w:r>
    </w:p>
    <w:p w14:paraId="7341F27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kern w:val="2"/>
          <w:sz w:val="21"/>
          <w:szCs w:val="24"/>
          <w:highlight w:val="none"/>
          <w:lang w:val="en-US" w:bidi="ar-SA"/>
        </w:rPr>
        <w:t>甲方</w:t>
      </w:r>
      <w:r>
        <w:rPr>
          <w:rFonts w:hint="eastAsia" w:ascii="宋体" w:hAnsi="宋体" w:eastAsia="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bidi="ar-SA"/>
        </w:rPr>
        <w:t>权利和</w:t>
      </w:r>
      <w:r>
        <w:rPr>
          <w:rFonts w:hint="eastAsia" w:ascii="宋体" w:hAnsi="宋体" w:eastAsia="宋体" w:cs="宋体"/>
          <w:color w:val="auto"/>
          <w:kern w:val="2"/>
          <w:sz w:val="21"/>
          <w:szCs w:val="24"/>
          <w:highlight w:val="none"/>
          <w:lang w:val="en-US" w:eastAsia="zh-CN" w:bidi="ar-SA"/>
        </w:rPr>
        <w:t>义务：</w:t>
      </w:r>
    </w:p>
    <w:p w14:paraId="56FD723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①</w:t>
      </w:r>
      <w:r>
        <w:rPr>
          <w:rFonts w:hint="eastAsia" w:ascii="宋体" w:hAnsi="宋体" w:eastAsia="宋体" w:cs="宋体"/>
          <w:color w:val="auto"/>
          <w:kern w:val="2"/>
          <w:sz w:val="21"/>
          <w:szCs w:val="24"/>
          <w:highlight w:val="none"/>
          <w:lang w:val="en-US" w:eastAsia="zh-CN" w:bidi="ar-SA"/>
        </w:rPr>
        <w:t>甲方应协助乙方开展此项目的相关工作，并提供相关资料。</w:t>
      </w:r>
    </w:p>
    <w:p w14:paraId="5883B6D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eastAsia="zh-CN" w:bidi="ar-SA"/>
        </w:rPr>
        <w:t>②</w:t>
      </w:r>
      <w:r>
        <w:rPr>
          <w:rFonts w:hint="eastAsia" w:ascii="宋体" w:hAnsi="宋体" w:eastAsia="宋体" w:cs="宋体"/>
          <w:color w:val="auto"/>
          <w:kern w:val="2"/>
          <w:sz w:val="21"/>
          <w:szCs w:val="24"/>
          <w:highlight w:val="none"/>
          <w:lang w:val="en-US" w:bidi="ar-SA"/>
        </w:rPr>
        <w:t>甲方应按本合同有关规定及时支付相关费用。</w:t>
      </w:r>
    </w:p>
    <w:p w14:paraId="539538C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③甲方有权根据工作需要，提出本合同范围以外的工作内容，乙方应予以执行，所发生费用，经双方协商另行签署补充协议。</w:t>
      </w:r>
    </w:p>
    <w:p w14:paraId="54733D1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2.乙方</w:t>
      </w:r>
      <w:r>
        <w:rPr>
          <w:rFonts w:hint="eastAsia" w:ascii="宋体" w:hAnsi="宋体" w:eastAsia="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bidi="ar-SA"/>
        </w:rPr>
        <w:t>权利和</w:t>
      </w:r>
      <w:r>
        <w:rPr>
          <w:rFonts w:hint="eastAsia" w:ascii="宋体" w:hAnsi="宋体" w:eastAsia="宋体" w:cs="宋体"/>
          <w:color w:val="auto"/>
          <w:kern w:val="2"/>
          <w:sz w:val="21"/>
          <w:szCs w:val="24"/>
          <w:highlight w:val="none"/>
          <w:lang w:val="en-US" w:eastAsia="zh-CN" w:bidi="ar-SA"/>
        </w:rPr>
        <w:t>义务：</w:t>
      </w:r>
    </w:p>
    <w:p w14:paraId="540458E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①乙方必须根据采购文件及有关的技术要求、国家现行有关设计标准、技术规范、规程、甲方要求完成合同约定范围内的全部任务，并按规定向甲方交付成果，确保质量与进度。</w:t>
      </w:r>
    </w:p>
    <w:p w14:paraId="7FD7F98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②乙方应按时召开内部沟通会议，跟进项目进度，并及时向甲方汇报项目进展情况，及时参加甲方召开的项目会议。</w:t>
      </w:r>
    </w:p>
    <w:p w14:paraId="4A3E0BA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③乙方应服务质量，因乙方自身原因出现错误或遗漏或甲方不满意之处，必须按甲方意见进行修改完善。</w:t>
      </w:r>
    </w:p>
    <w:p w14:paraId="2E9AF3B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④如甲方提出本合同范围以外的工作内容，乙方在甲方规定的合理时间内应予以执行，但双方就增补协议问题应尽快落实，如遇增补协议未落实，乙方有权暂停超出范围的工作配合且不承担任何责任。</w:t>
      </w:r>
    </w:p>
    <w:p w14:paraId="190A673B">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00F5A81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bidi="ar-SA"/>
        </w:rPr>
        <w:t>四、</w:t>
      </w:r>
      <w:r>
        <w:rPr>
          <w:rFonts w:hint="eastAsia" w:ascii="宋体" w:hAnsi="宋体" w:cs="宋体"/>
          <w:b/>
          <w:bCs/>
          <w:color w:val="auto"/>
          <w:kern w:val="2"/>
          <w:sz w:val="21"/>
          <w:szCs w:val="24"/>
          <w:highlight w:val="none"/>
          <w:lang w:val="en-US" w:eastAsia="zh-CN" w:bidi="ar-SA"/>
        </w:rPr>
        <w:t>服务</w:t>
      </w:r>
      <w:r>
        <w:rPr>
          <w:rFonts w:hint="eastAsia" w:ascii="宋体" w:hAnsi="宋体" w:eastAsia="宋体" w:cs="宋体"/>
          <w:b/>
          <w:bCs/>
          <w:color w:val="auto"/>
          <w:kern w:val="2"/>
          <w:sz w:val="21"/>
          <w:szCs w:val="24"/>
          <w:highlight w:val="none"/>
          <w:lang w:val="en-US" w:eastAsia="zh-CN" w:bidi="ar-SA"/>
        </w:rPr>
        <w:t>期</w:t>
      </w:r>
    </w:p>
    <w:p w14:paraId="6A7F637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cs="宋体"/>
          <w:b w:val="0"/>
          <w:bCs/>
          <w:color w:val="auto"/>
          <w:kern w:val="2"/>
          <w:sz w:val="21"/>
          <w:szCs w:val="21"/>
          <w:highlight w:val="none"/>
          <w:lang w:val="en-US" w:eastAsia="zh-CN" w:bidi="ar-SA"/>
        </w:rPr>
        <w:t>自合同签订之日起一年。</w:t>
      </w:r>
    </w:p>
    <w:p w14:paraId="1777981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3FECBCC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bidi="ar-SA"/>
        </w:rPr>
        <w:t>五</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付款方式</w:t>
      </w:r>
    </w:p>
    <w:p w14:paraId="20D65520">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该项目服务期为</w:t>
      </w:r>
      <w:r>
        <w:rPr>
          <w:rFonts w:hint="eastAsia" w:ascii="宋体" w:hAnsi="宋体" w:cs="宋体"/>
          <w:color w:val="auto"/>
          <w:sz w:val="21"/>
          <w:szCs w:val="21"/>
          <w:highlight w:val="none"/>
          <w:lang w:val="en-US" w:eastAsia="zh-CN"/>
        </w:rPr>
        <w:t>一</w:t>
      </w:r>
      <w:r>
        <w:rPr>
          <w:rFonts w:hint="default" w:ascii="宋体" w:hAnsi="宋体" w:eastAsia="宋体" w:cs="宋体"/>
          <w:color w:val="auto"/>
          <w:sz w:val="21"/>
          <w:szCs w:val="21"/>
          <w:highlight w:val="none"/>
          <w:lang w:val="en-US" w:eastAsia="zh-CN"/>
        </w:rPr>
        <w:t>年，采取月结方式结算，当月支付上月</w:t>
      </w:r>
      <w:r>
        <w:rPr>
          <w:rFonts w:hint="eastAsia" w:ascii="宋体" w:hAnsi="宋体" w:cs="宋体"/>
          <w:color w:val="auto"/>
          <w:sz w:val="21"/>
          <w:szCs w:val="21"/>
          <w:highlight w:val="none"/>
          <w:lang w:val="en-US" w:eastAsia="zh-CN"/>
        </w:rPr>
        <w:t>运维服务</w:t>
      </w:r>
      <w:r>
        <w:rPr>
          <w:rFonts w:hint="default" w:ascii="宋体" w:hAnsi="宋体" w:eastAsia="宋体" w:cs="宋体"/>
          <w:color w:val="auto"/>
          <w:sz w:val="21"/>
          <w:szCs w:val="21"/>
          <w:highlight w:val="none"/>
          <w:lang w:val="en-US" w:eastAsia="zh-CN"/>
        </w:rPr>
        <w:t>费用，</w:t>
      </w:r>
      <w:r>
        <w:rPr>
          <w:rFonts w:hint="eastAsia" w:ascii="宋体" w:hAnsi="宋体" w:cs="宋体"/>
          <w:color w:val="auto"/>
          <w:sz w:val="21"/>
          <w:szCs w:val="21"/>
          <w:highlight w:val="none"/>
          <w:lang w:val="en-US" w:eastAsia="zh-CN"/>
        </w:rPr>
        <w:t>月运维服务费用=中标（成交）金额÷12个月。</w:t>
      </w:r>
    </w:p>
    <w:p w14:paraId="75955BC5">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上述</w:t>
      </w:r>
      <w:r>
        <w:rPr>
          <w:rFonts w:hint="eastAsia" w:ascii="宋体" w:hAnsi="宋体" w:cs="宋体"/>
          <w:color w:val="auto"/>
          <w:sz w:val="21"/>
          <w:szCs w:val="21"/>
          <w:highlight w:val="none"/>
          <w:lang w:val="en-US" w:eastAsia="zh-CN"/>
        </w:rPr>
        <w:t>运维服务</w:t>
      </w:r>
      <w:r>
        <w:rPr>
          <w:rFonts w:hint="default" w:ascii="宋体" w:hAnsi="宋体" w:eastAsia="宋体" w:cs="宋体"/>
          <w:color w:val="auto"/>
          <w:sz w:val="21"/>
          <w:szCs w:val="21"/>
          <w:highlight w:val="none"/>
          <w:lang w:val="en-US" w:eastAsia="zh-CN"/>
        </w:rPr>
        <w:t>费用</w:t>
      </w:r>
      <w:r>
        <w:rPr>
          <w:rFonts w:hint="eastAsia" w:ascii="宋体" w:hAnsi="宋体" w:eastAsia="宋体" w:cs="宋体"/>
          <w:color w:val="auto"/>
          <w:sz w:val="21"/>
          <w:szCs w:val="21"/>
          <w:highlight w:val="none"/>
          <w:lang w:val="en-US" w:eastAsia="zh-CN"/>
        </w:rPr>
        <w:t>甲方</w:t>
      </w:r>
      <w:r>
        <w:rPr>
          <w:rFonts w:hint="default" w:ascii="宋体" w:hAnsi="宋体" w:eastAsia="宋体" w:cs="宋体"/>
          <w:color w:val="auto"/>
          <w:sz w:val="21"/>
          <w:szCs w:val="21"/>
          <w:highlight w:val="none"/>
          <w:lang w:val="en-US" w:eastAsia="zh-CN"/>
        </w:rPr>
        <w:t>按照</w:t>
      </w:r>
      <w:r>
        <w:rPr>
          <w:rFonts w:hint="eastAsia" w:ascii="宋体" w:hAnsi="宋体" w:cs="宋体"/>
          <w:color w:val="auto"/>
          <w:sz w:val="21"/>
          <w:szCs w:val="21"/>
          <w:highlight w:val="none"/>
          <w:lang w:val="en-US" w:eastAsia="zh-CN"/>
        </w:rPr>
        <w:t>《石排镇“慧眼”视频运维项目考核打分表》考核</w:t>
      </w:r>
      <w:r>
        <w:rPr>
          <w:rFonts w:hint="default" w:ascii="宋体" w:hAnsi="宋体" w:eastAsia="宋体" w:cs="宋体"/>
          <w:color w:val="auto"/>
          <w:sz w:val="21"/>
          <w:szCs w:val="21"/>
          <w:highlight w:val="none"/>
          <w:lang w:val="en-US" w:eastAsia="zh-CN"/>
        </w:rPr>
        <w:t>结果进行发放，若</w:t>
      </w:r>
      <w:r>
        <w:rPr>
          <w:rFonts w:hint="eastAsia" w:ascii="宋体" w:hAnsi="宋体" w:cs="宋体"/>
          <w:color w:val="auto"/>
          <w:sz w:val="21"/>
          <w:szCs w:val="21"/>
          <w:highlight w:val="none"/>
          <w:lang w:val="en-US" w:eastAsia="zh-CN"/>
        </w:rPr>
        <w:t>考核</w:t>
      </w:r>
      <w:r>
        <w:rPr>
          <w:rFonts w:hint="default" w:ascii="宋体" w:hAnsi="宋体" w:eastAsia="宋体" w:cs="宋体"/>
          <w:color w:val="auto"/>
          <w:sz w:val="21"/>
          <w:szCs w:val="21"/>
          <w:highlight w:val="none"/>
          <w:lang w:val="en-US" w:eastAsia="zh-CN"/>
        </w:rPr>
        <w:t>结果</w:t>
      </w:r>
      <w:r>
        <w:rPr>
          <w:rFonts w:hint="eastAsia" w:ascii="宋体" w:hAnsi="宋体" w:cs="宋体"/>
          <w:color w:val="auto"/>
          <w:sz w:val="21"/>
          <w:szCs w:val="21"/>
          <w:highlight w:val="none"/>
          <w:lang w:val="en-US" w:eastAsia="zh-CN"/>
        </w:rPr>
        <w:t>未达9</w:t>
      </w:r>
      <w:r>
        <w:rPr>
          <w:rFonts w:hint="default" w:ascii="宋体" w:hAnsi="宋体" w:eastAsia="宋体" w:cs="宋体"/>
          <w:color w:val="auto"/>
          <w:sz w:val="21"/>
          <w:szCs w:val="21"/>
          <w:highlight w:val="none"/>
          <w:lang w:val="en-US" w:eastAsia="zh-CN"/>
        </w:rPr>
        <w:t>0分</w:t>
      </w:r>
      <w:r>
        <w:rPr>
          <w:rFonts w:hint="eastAsia" w:ascii="宋体" w:hAnsi="宋体" w:cs="宋体"/>
          <w:color w:val="auto"/>
          <w:sz w:val="21"/>
          <w:szCs w:val="21"/>
          <w:highlight w:val="none"/>
          <w:lang w:val="en-US" w:eastAsia="zh-CN"/>
        </w:rPr>
        <w:t>的</w:t>
      </w:r>
      <w:r>
        <w:rPr>
          <w:rFonts w:hint="default" w:ascii="宋体" w:hAnsi="宋体" w:eastAsia="宋体" w:cs="宋体"/>
          <w:color w:val="auto"/>
          <w:sz w:val="21"/>
          <w:szCs w:val="21"/>
          <w:highlight w:val="none"/>
          <w:lang w:val="en-US" w:eastAsia="zh-CN"/>
        </w:rPr>
        <w:t>，每扣1分扣除1000元</w:t>
      </w:r>
      <w:r>
        <w:rPr>
          <w:rFonts w:hint="eastAsia" w:ascii="宋体" w:hAnsi="宋体" w:cs="宋体"/>
          <w:color w:val="auto"/>
          <w:sz w:val="21"/>
          <w:szCs w:val="21"/>
          <w:highlight w:val="none"/>
          <w:lang w:val="en-US" w:eastAsia="zh-CN"/>
        </w:rPr>
        <w:t>，直至当月运维服务费用扣完为止</w:t>
      </w:r>
      <w:r>
        <w:rPr>
          <w:rFonts w:hint="default" w:ascii="宋体" w:hAnsi="宋体" w:eastAsia="宋体" w:cs="宋体"/>
          <w:color w:val="auto"/>
          <w:sz w:val="21"/>
          <w:szCs w:val="21"/>
          <w:highlight w:val="none"/>
          <w:lang w:val="en-US" w:eastAsia="zh-CN"/>
        </w:rPr>
        <w:t>。若</w:t>
      </w:r>
      <w:r>
        <w:rPr>
          <w:rFonts w:hint="eastAsia" w:ascii="宋体" w:hAnsi="宋体" w:cs="宋体"/>
          <w:color w:val="auto"/>
          <w:sz w:val="21"/>
          <w:szCs w:val="21"/>
          <w:highlight w:val="none"/>
          <w:lang w:val="en-US" w:eastAsia="zh-CN"/>
        </w:rPr>
        <w:t>服务期内连续两次或累计三次以上不达标（</w:t>
      </w:r>
      <w:r>
        <w:rPr>
          <w:rFonts w:hint="eastAsia" w:ascii="宋体" w:hAnsi="宋体"/>
          <w:color w:val="auto"/>
          <w:szCs w:val="21"/>
          <w:highlight w:val="none"/>
        </w:rPr>
        <w:t>综合检查得分在90分以上的（含90分）为达标</w:t>
      </w:r>
      <w:r>
        <w:rPr>
          <w:rFonts w:hint="eastAsia" w:ascii="宋体" w:hAnsi="宋体" w:cs="宋体"/>
          <w:color w:val="auto"/>
          <w:sz w:val="21"/>
          <w:szCs w:val="21"/>
          <w:highlight w:val="none"/>
          <w:lang w:val="en-US" w:eastAsia="zh-CN"/>
        </w:rPr>
        <w:t>）的</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甲方</w:t>
      </w:r>
      <w:r>
        <w:rPr>
          <w:rFonts w:hint="default" w:ascii="宋体" w:hAnsi="宋体" w:eastAsia="宋体" w:cs="宋体"/>
          <w:color w:val="auto"/>
          <w:sz w:val="21"/>
          <w:szCs w:val="21"/>
          <w:highlight w:val="none"/>
          <w:lang w:val="en-US" w:eastAsia="zh-CN"/>
        </w:rPr>
        <w:t>有权单方面终止合同</w:t>
      </w:r>
      <w:r>
        <w:rPr>
          <w:rFonts w:hint="eastAsia" w:ascii="宋体" w:hAnsi="宋体" w:cs="宋体"/>
          <w:color w:val="auto"/>
          <w:sz w:val="21"/>
          <w:szCs w:val="21"/>
          <w:highlight w:val="none"/>
          <w:lang w:val="en-US" w:eastAsia="zh-CN"/>
        </w:rPr>
        <w:t>，因此产生的后果有乙方承担</w:t>
      </w:r>
      <w:r>
        <w:rPr>
          <w:rFonts w:hint="default" w:ascii="宋体" w:hAnsi="宋体" w:eastAsia="宋体" w:cs="宋体"/>
          <w:color w:val="auto"/>
          <w:sz w:val="21"/>
          <w:szCs w:val="21"/>
          <w:highlight w:val="none"/>
          <w:lang w:val="en-US" w:eastAsia="zh-CN"/>
        </w:rPr>
        <w:t>。</w:t>
      </w:r>
    </w:p>
    <w:p w14:paraId="3D2FD5E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eastAsia="宋体" w:cs="宋体"/>
          <w:color w:val="auto"/>
          <w:sz w:val="21"/>
          <w:szCs w:val="21"/>
          <w:highlight w:val="none"/>
          <w:lang w:val="en-US" w:eastAsia="zh-CN"/>
        </w:rPr>
        <w:t>3.乙方</w:t>
      </w:r>
      <w:r>
        <w:rPr>
          <w:rFonts w:hint="default" w:ascii="宋体" w:hAnsi="宋体" w:eastAsia="宋体" w:cs="宋体"/>
          <w:color w:val="auto"/>
          <w:sz w:val="21"/>
          <w:szCs w:val="21"/>
          <w:highlight w:val="none"/>
          <w:lang w:val="en-US" w:eastAsia="zh-CN"/>
        </w:rPr>
        <w:t>请款时必须提交国家税务机关印制的发票给</w:t>
      </w:r>
      <w:r>
        <w:rPr>
          <w:rFonts w:hint="eastAsia" w:ascii="宋体" w:hAnsi="宋体" w:eastAsia="宋体" w:cs="宋体"/>
          <w:color w:val="auto"/>
          <w:sz w:val="21"/>
          <w:szCs w:val="21"/>
          <w:highlight w:val="none"/>
          <w:lang w:val="en-US" w:eastAsia="zh-CN"/>
        </w:rPr>
        <w:t>甲方</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甲方</w:t>
      </w:r>
      <w:r>
        <w:rPr>
          <w:rFonts w:hint="default" w:ascii="宋体" w:hAnsi="宋体" w:eastAsia="宋体" w:cs="宋体"/>
          <w:color w:val="auto"/>
          <w:sz w:val="21"/>
          <w:szCs w:val="21"/>
          <w:highlight w:val="none"/>
          <w:lang w:val="en-US" w:eastAsia="zh-CN"/>
        </w:rPr>
        <w:t>才能付款，否则视为无效票据。</w:t>
      </w:r>
    </w:p>
    <w:p w14:paraId="50A6643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3BA3C970">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六</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知识产权</w:t>
      </w:r>
      <w:r>
        <w:rPr>
          <w:rFonts w:hint="eastAsia" w:ascii="宋体" w:hAnsi="宋体" w:eastAsia="宋体" w:cs="宋体"/>
          <w:b/>
          <w:bCs/>
          <w:color w:val="auto"/>
          <w:kern w:val="2"/>
          <w:sz w:val="21"/>
          <w:szCs w:val="24"/>
          <w:highlight w:val="none"/>
          <w:lang w:val="en-US" w:eastAsia="zh-CN" w:bidi="ar-SA"/>
        </w:rPr>
        <w:t>归属</w:t>
      </w:r>
    </w:p>
    <w:p w14:paraId="4B3FAD0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1.乙方必须保证甲方在接受其所提供服务期的任何时候不受到知识产权或版权的纠纷，否则，由此产生的任何责任完全由乙方承担。</w:t>
      </w:r>
    </w:p>
    <w:p w14:paraId="462311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2.本合同过程中形成的所有服务内容，包括但不限于技术成果及其知识产权归甲方所有。同时，未经甲方许可，乙方不得将甲方相关资料提供给第三方。</w:t>
      </w:r>
    </w:p>
    <w:p w14:paraId="2EEFB5B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3.甲方委托乙方为其提供服务所产生的成果，甲方独立拥有完整的知识产权及其他权益。</w:t>
      </w:r>
    </w:p>
    <w:p w14:paraId="467CE81D">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6757A78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七</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保密</w:t>
      </w:r>
    </w:p>
    <w:p w14:paraId="6E7292D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22D1D07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4F54196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除了合同本身之外，上款所列举的任何物件均是乙方的财产。如果乙方有要求，甲方在完成合同后应将这些物件及全部复制件还给乙方。</w:t>
      </w:r>
    </w:p>
    <w:p w14:paraId="0523AFEE">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6C00BD0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八</w:t>
      </w:r>
      <w:r>
        <w:rPr>
          <w:rFonts w:hint="eastAsia" w:ascii="宋体" w:hAnsi="宋体" w:eastAsia="宋体" w:cs="宋体"/>
          <w:b/>
          <w:bCs/>
          <w:color w:val="auto"/>
          <w:kern w:val="2"/>
          <w:sz w:val="21"/>
          <w:szCs w:val="24"/>
          <w:highlight w:val="none"/>
          <w:lang w:val="en-US" w:eastAsia="zh-CN" w:bidi="ar-SA"/>
        </w:rPr>
        <w:t>、违约责任与赔偿损失</w:t>
      </w:r>
    </w:p>
    <w:p w14:paraId="367F278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1.乙方提供的服务不符合本合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规定的，甲方有权拒收，并且乙方须向甲方方支付本合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总价5%的</w:t>
      </w:r>
      <w:r>
        <w:rPr>
          <w:rFonts w:hint="eastAsia" w:ascii="宋体" w:hAnsi="宋体" w:eastAsia="宋体" w:cs="宋体"/>
          <w:color w:val="auto"/>
          <w:kern w:val="2"/>
          <w:sz w:val="21"/>
          <w:szCs w:val="24"/>
          <w:highlight w:val="none"/>
          <w:lang w:val="en-US" w:eastAsia="zh-CN" w:bidi="ar-SA"/>
        </w:rPr>
        <w:t>违约金。</w:t>
      </w:r>
    </w:p>
    <w:p w14:paraId="59FE668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2.乙方未能</w:t>
      </w:r>
      <w:r>
        <w:rPr>
          <w:rFonts w:hint="eastAsia" w:ascii="宋体" w:hAnsi="宋体" w:eastAsia="宋体" w:cs="宋体"/>
          <w:color w:val="auto"/>
          <w:kern w:val="2"/>
          <w:sz w:val="21"/>
          <w:szCs w:val="24"/>
          <w:highlight w:val="none"/>
          <w:lang w:val="en-US" w:eastAsia="zh-CN" w:bidi="ar-SA"/>
        </w:rPr>
        <w:t>按</w:t>
      </w:r>
      <w:r>
        <w:rPr>
          <w:rFonts w:hint="eastAsia" w:ascii="宋体" w:hAnsi="宋体" w:eastAsia="宋体" w:cs="宋体"/>
          <w:color w:val="auto"/>
          <w:kern w:val="2"/>
          <w:sz w:val="21"/>
          <w:szCs w:val="24"/>
          <w:highlight w:val="none"/>
          <w:lang w:val="en-US" w:bidi="ar-SA"/>
        </w:rPr>
        <w:t>本合同规定的</w:t>
      </w:r>
      <w:r>
        <w:rPr>
          <w:rFonts w:hint="eastAsia" w:ascii="宋体" w:hAnsi="宋体" w:eastAsia="宋体" w:cs="宋体"/>
          <w:color w:val="auto"/>
          <w:kern w:val="2"/>
          <w:sz w:val="21"/>
          <w:szCs w:val="24"/>
          <w:highlight w:val="none"/>
          <w:lang w:val="en-US" w:eastAsia="zh-CN" w:bidi="ar-SA"/>
        </w:rPr>
        <w:t>时间</w:t>
      </w:r>
      <w:r>
        <w:rPr>
          <w:rFonts w:hint="eastAsia" w:ascii="宋体" w:hAnsi="宋体" w:eastAsia="宋体" w:cs="宋体"/>
          <w:color w:val="auto"/>
          <w:kern w:val="2"/>
          <w:sz w:val="21"/>
          <w:szCs w:val="24"/>
          <w:highlight w:val="none"/>
          <w:lang w:val="en-US" w:bidi="ar-SA"/>
        </w:rPr>
        <w:t>提供服务，从逾</w:t>
      </w:r>
      <w:r>
        <w:rPr>
          <w:rFonts w:hint="eastAsia" w:ascii="宋体" w:hAnsi="宋体" w:eastAsia="宋体" w:cs="宋体"/>
          <w:color w:val="auto"/>
          <w:kern w:val="2"/>
          <w:sz w:val="21"/>
          <w:szCs w:val="24"/>
          <w:highlight w:val="none"/>
          <w:lang w:val="en-US" w:eastAsia="zh-CN" w:bidi="ar-SA"/>
        </w:rPr>
        <w:t>期</w:t>
      </w:r>
      <w:r>
        <w:rPr>
          <w:rFonts w:hint="eastAsia" w:ascii="宋体" w:hAnsi="宋体" w:eastAsia="宋体" w:cs="宋体"/>
          <w:color w:val="auto"/>
          <w:kern w:val="2"/>
          <w:sz w:val="21"/>
          <w:szCs w:val="24"/>
          <w:highlight w:val="none"/>
          <w:lang w:val="en-US" w:bidi="ar-SA"/>
        </w:rPr>
        <w:t>之日起每日</w:t>
      </w:r>
      <w:r>
        <w:rPr>
          <w:rFonts w:hint="eastAsia" w:ascii="宋体" w:hAnsi="宋体" w:eastAsia="宋体" w:cs="宋体"/>
          <w:color w:val="auto"/>
          <w:kern w:val="2"/>
          <w:sz w:val="21"/>
          <w:szCs w:val="24"/>
          <w:highlight w:val="none"/>
          <w:lang w:val="en-US" w:eastAsia="zh-CN" w:bidi="ar-SA"/>
        </w:rPr>
        <w:t>按</w:t>
      </w:r>
      <w:r>
        <w:rPr>
          <w:rFonts w:hint="eastAsia" w:ascii="宋体" w:hAnsi="宋体" w:eastAsia="宋体" w:cs="宋体"/>
          <w:color w:val="auto"/>
          <w:kern w:val="2"/>
          <w:sz w:val="21"/>
          <w:szCs w:val="24"/>
          <w:highlight w:val="none"/>
          <w:lang w:val="en-US" w:bidi="ar-SA"/>
        </w:rPr>
        <w:t>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总价</w:t>
      </w: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bidi="ar-SA"/>
        </w:rPr>
        <w:t>的数额向甲方支付</w:t>
      </w:r>
      <w:r>
        <w:rPr>
          <w:rFonts w:hint="eastAsia" w:ascii="宋体" w:hAnsi="宋体" w:eastAsia="宋体" w:cs="宋体"/>
          <w:color w:val="auto"/>
          <w:kern w:val="2"/>
          <w:sz w:val="21"/>
          <w:szCs w:val="24"/>
          <w:highlight w:val="none"/>
          <w:lang w:val="en-US" w:eastAsia="zh-CN" w:bidi="ar-SA"/>
        </w:rPr>
        <w:t>违约金；</w:t>
      </w:r>
      <w:r>
        <w:rPr>
          <w:rFonts w:hint="eastAsia" w:ascii="宋体" w:hAnsi="宋体" w:eastAsia="宋体" w:cs="宋体"/>
          <w:color w:val="auto"/>
          <w:kern w:val="2"/>
          <w:sz w:val="21"/>
          <w:szCs w:val="24"/>
          <w:highlight w:val="none"/>
          <w:lang w:val="en-US" w:bidi="ar-SA"/>
        </w:rPr>
        <w:t>逾期半个月以上的，甲方有权</w:t>
      </w:r>
      <w:r>
        <w:rPr>
          <w:rFonts w:hint="eastAsia" w:ascii="宋体" w:hAnsi="宋体" w:eastAsia="宋体" w:cs="宋体"/>
          <w:color w:val="auto"/>
          <w:kern w:val="2"/>
          <w:sz w:val="21"/>
          <w:szCs w:val="24"/>
          <w:highlight w:val="none"/>
          <w:lang w:val="en-US" w:eastAsia="zh-CN" w:bidi="ar-SA"/>
        </w:rPr>
        <w:t>终止合同</w:t>
      </w:r>
      <w:r>
        <w:rPr>
          <w:rFonts w:hint="eastAsia" w:ascii="宋体" w:hAnsi="宋体" w:eastAsia="宋体" w:cs="宋体"/>
          <w:color w:val="auto"/>
          <w:kern w:val="2"/>
          <w:sz w:val="21"/>
          <w:szCs w:val="24"/>
          <w:highlight w:val="none"/>
          <w:lang w:val="en-US" w:bidi="ar-SA"/>
        </w:rPr>
        <w:t>，由此造成的甲方经济损失由乙方承担。</w:t>
      </w:r>
    </w:p>
    <w:p w14:paraId="7649DC08">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bidi="ar-SA"/>
        </w:rPr>
        <w:t>其它</w:t>
      </w:r>
      <w:r>
        <w:rPr>
          <w:rFonts w:hint="eastAsia" w:ascii="宋体" w:hAnsi="宋体" w:eastAsia="宋体" w:cs="宋体"/>
          <w:color w:val="auto"/>
          <w:kern w:val="2"/>
          <w:sz w:val="21"/>
          <w:szCs w:val="24"/>
          <w:highlight w:val="none"/>
          <w:lang w:val="en-US" w:eastAsia="zh-CN" w:bidi="ar-SA"/>
        </w:rPr>
        <w:t>违约</w:t>
      </w:r>
      <w:r>
        <w:rPr>
          <w:rFonts w:hint="eastAsia" w:ascii="宋体" w:hAnsi="宋体" w:eastAsia="宋体" w:cs="宋体"/>
          <w:color w:val="auto"/>
          <w:kern w:val="2"/>
          <w:sz w:val="21"/>
          <w:szCs w:val="24"/>
          <w:highlight w:val="none"/>
          <w:lang w:val="en-US" w:bidi="ar-SA"/>
        </w:rPr>
        <w:t>责任按</w:t>
      </w:r>
      <w:r>
        <w:rPr>
          <w:rFonts w:hint="eastAsia" w:ascii="宋体" w:hAnsi="宋体" w:eastAsia="宋体" w:cs="宋体"/>
          <w:color w:val="auto"/>
          <w:kern w:val="2"/>
          <w:sz w:val="21"/>
          <w:szCs w:val="24"/>
          <w:highlight w:val="none"/>
          <w:lang w:val="en-US" w:eastAsia="zh-CN" w:bidi="ar-SA"/>
        </w:rPr>
        <w:t>《中</w:t>
      </w:r>
      <w:r>
        <w:rPr>
          <w:rFonts w:hint="eastAsia" w:ascii="宋体" w:hAnsi="宋体" w:eastAsia="宋体" w:cs="宋体"/>
          <w:color w:val="auto"/>
          <w:kern w:val="2"/>
          <w:sz w:val="21"/>
          <w:szCs w:val="24"/>
          <w:highlight w:val="none"/>
          <w:lang w:val="en-US" w:bidi="ar-SA"/>
        </w:rPr>
        <w:t>华人民共和国民法典</w:t>
      </w:r>
      <w:r>
        <w:rPr>
          <w:rFonts w:hint="eastAsia" w:ascii="宋体" w:hAnsi="宋体" w:eastAsia="宋体" w:cs="宋体"/>
          <w:color w:val="auto"/>
          <w:kern w:val="2"/>
          <w:sz w:val="21"/>
          <w:szCs w:val="24"/>
          <w:highlight w:val="none"/>
          <w:lang w:val="en-US" w:eastAsia="zh-CN" w:bidi="ar-SA"/>
        </w:rPr>
        <w:t>（合同编）</w:t>
      </w:r>
      <w:r>
        <w:rPr>
          <w:rFonts w:hint="eastAsia" w:ascii="宋体" w:hAnsi="宋体" w:eastAsia="宋体" w:cs="宋体"/>
          <w:color w:val="auto"/>
          <w:kern w:val="2"/>
          <w:sz w:val="21"/>
          <w:szCs w:val="24"/>
          <w:highlight w:val="none"/>
          <w:lang w:val="en-US" w:bidi="ar-SA"/>
        </w:rPr>
        <w:t>》处理。</w:t>
      </w:r>
    </w:p>
    <w:p w14:paraId="6FF62369">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25C29C7A">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九</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争议的解决</w:t>
      </w:r>
    </w:p>
    <w:p w14:paraId="1449B64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执行过程中发生的任何争议，如双方不能通过友好</w:t>
      </w:r>
      <w:r>
        <w:rPr>
          <w:rFonts w:hint="eastAsia" w:ascii="宋体" w:hAnsi="宋体" w:eastAsia="宋体" w:cs="宋体"/>
          <w:color w:val="auto"/>
          <w:kern w:val="2"/>
          <w:sz w:val="21"/>
          <w:szCs w:val="24"/>
          <w:highlight w:val="none"/>
          <w:lang w:val="en-US" w:eastAsia="zh-CN" w:bidi="ar-SA"/>
        </w:rPr>
        <w:t>协商</w:t>
      </w:r>
      <w:r>
        <w:rPr>
          <w:rFonts w:hint="eastAsia" w:ascii="宋体" w:hAnsi="宋体" w:eastAsia="宋体" w:cs="宋体"/>
          <w:color w:val="auto"/>
          <w:kern w:val="2"/>
          <w:sz w:val="21"/>
          <w:szCs w:val="24"/>
          <w:highlight w:val="none"/>
          <w:lang w:val="en-US" w:bidi="ar-SA"/>
        </w:rPr>
        <w:t>解决，按相关法律法规处理。</w:t>
      </w:r>
    </w:p>
    <w:p w14:paraId="798FA9A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6B2D11C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eastAsia="宋体" w:cs="宋体"/>
          <w:b/>
          <w:bCs/>
          <w:color w:val="auto"/>
          <w:kern w:val="2"/>
          <w:sz w:val="21"/>
          <w:szCs w:val="24"/>
          <w:highlight w:val="none"/>
          <w:lang w:val="en-US" w:bidi="ar-SA"/>
        </w:rPr>
        <w:t>不可抗力</w:t>
      </w:r>
    </w:p>
    <w:p w14:paraId="7BEA04B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任何一方由于不可抗力原因不能履行合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时，</w:t>
      </w:r>
      <w:r>
        <w:rPr>
          <w:rFonts w:hint="eastAsia" w:ascii="宋体" w:hAnsi="宋体" w:eastAsia="宋体" w:cs="宋体"/>
          <w:color w:val="auto"/>
          <w:kern w:val="2"/>
          <w:sz w:val="21"/>
          <w:szCs w:val="24"/>
          <w:highlight w:val="none"/>
          <w:lang w:val="en-US" w:eastAsia="zh-CN" w:bidi="ar-SA"/>
        </w:rPr>
        <w:t>应</w:t>
      </w:r>
      <w:r>
        <w:rPr>
          <w:rFonts w:hint="eastAsia" w:ascii="宋体" w:hAnsi="宋体" w:eastAsia="宋体" w:cs="宋体"/>
          <w:color w:val="auto"/>
          <w:kern w:val="2"/>
          <w:sz w:val="21"/>
          <w:szCs w:val="24"/>
          <w:highlight w:val="none"/>
          <w:lang w:val="en-US" w:bidi="ar-SA"/>
        </w:rPr>
        <w:t>在不可抗力事件结束后1日内向</w:t>
      </w:r>
      <w:r>
        <w:rPr>
          <w:rFonts w:hint="eastAsia" w:ascii="宋体" w:hAnsi="宋体" w:eastAsia="宋体" w:cs="宋体"/>
          <w:color w:val="auto"/>
          <w:kern w:val="2"/>
          <w:sz w:val="21"/>
          <w:szCs w:val="24"/>
          <w:highlight w:val="none"/>
          <w:lang w:val="en-US" w:eastAsia="zh-CN" w:bidi="ar-SA"/>
        </w:rPr>
        <w:t>对</w:t>
      </w:r>
      <w:r>
        <w:rPr>
          <w:rFonts w:hint="eastAsia" w:ascii="宋体" w:hAnsi="宋体" w:eastAsia="宋体" w:cs="宋体"/>
          <w:color w:val="auto"/>
          <w:kern w:val="2"/>
          <w:sz w:val="21"/>
          <w:szCs w:val="24"/>
          <w:highlight w:val="none"/>
          <w:lang w:val="en-US" w:bidi="ar-SA"/>
        </w:rPr>
        <w:t>方通报，以</w:t>
      </w:r>
      <w:r>
        <w:rPr>
          <w:rFonts w:hint="eastAsia" w:ascii="宋体" w:hAnsi="宋体" w:eastAsia="宋体" w:cs="宋体"/>
          <w:color w:val="auto"/>
          <w:kern w:val="2"/>
          <w:sz w:val="21"/>
          <w:szCs w:val="24"/>
          <w:highlight w:val="none"/>
          <w:lang w:val="en-US" w:eastAsia="zh-CN" w:bidi="ar-SA"/>
        </w:rPr>
        <w:t>减</w:t>
      </w:r>
      <w:r>
        <w:rPr>
          <w:rFonts w:hint="eastAsia" w:ascii="宋体" w:hAnsi="宋体" w:eastAsia="宋体" w:cs="宋体"/>
          <w:color w:val="auto"/>
          <w:kern w:val="2"/>
          <w:sz w:val="21"/>
          <w:szCs w:val="24"/>
          <w:highlight w:val="none"/>
          <w:lang w:val="en-US" w:bidi="ar-SA"/>
        </w:rPr>
        <w:t>轻可能给对方造成的损失，在取得有关机构的不可抗</w:t>
      </w:r>
      <w:r>
        <w:rPr>
          <w:rFonts w:hint="eastAsia" w:ascii="宋体" w:hAnsi="宋体" w:eastAsia="宋体" w:cs="宋体"/>
          <w:color w:val="auto"/>
          <w:kern w:val="2"/>
          <w:sz w:val="21"/>
          <w:szCs w:val="24"/>
          <w:highlight w:val="none"/>
          <w:lang w:val="en-US" w:eastAsia="zh-CN" w:bidi="ar-SA"/>
        </w:rPr>
        <w:t>力</w:t>
      </w:r>
      <w:r>
        <w:rPr>
          <w:rFonts w:hint="eastAsia" w:ascii="宋体" w:hAnsi="宋体" w:eastAsia="宋体" w:cs="宋体"/>
          <w:color w:val="auto"/>
          <w:kern w:val="2"/>
          <w:sz w:val="21"/>
          <w:szCs w:val="24"/>
          <w:highlight w:val="none"/>
          <w:lang w:val="en-US" w:bidi="ar-SA"/>
        </w:rPr>
        <w:t>证明或双方谅解确认后，允许延期履行或修订合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，并根据情况可</w:t>
      </w:r>
      <w:r>
        <w:rPr>
          <w:rFonts w:hint="eastAsia" w:ascii="宋体" w:hAnsi="宋体" w:eastAsia="宋体" w:cs="宋体"/>
          <w:color w:val="auto"/>
          <w:kern w:val="2"/>
          <w:sz w:val="21"/>
          <w:szCs w:val="24"/>
          <w:highlight w:val="none"/>
          <w:lang w:val="en-US" w:eastAsia="zh-CN" w:bidi="ar-SA"/>
        </w:rPr>
        <w:t>部分</w:t>
      </w:r>
      <w:r>
        <w:rPr>
          <w:rFonts w:hint="eastAsia" w:ascii="宋体" w:hAnsi="宋体" w:eastAsia="宋体" w:cs="宋体"/>
          <w:color w:val="auto"/>
          <w:kern w:val="2"/>
          <w:sz w:val="21"/>
          <w:szCs w:val="24"/>
          <w:highlight w:val="none"/>
          <w:lang w:val="en-US" w:bidi="ar-SA"/>
        </w:rPr>
        <w:t>或全</w:t>
      </w:r>
      <w:r>
        <w:rPr>
          <w:rFonts w:hint="eastAsia" w:ascii="宋体" w:hAnsi="宋体" w:eastAsia="宋体" w:cs="宋体"/>
          <w:color w:val="auto"/>
          <w:kern w:val="2"/>
          <w:sz w:val="21"/>
          <w:szCs w:val="24"/>
          <w:highlight w:val="none"/>
          <w:lang w:val="en-US" w:eastAsia="zh-CN" w:bidi="ar-SA"/>
        </w:rPr>
        <w:t>部</w:t>
      </w:r>
      <w:r>
        <w:rPr>
          <w:rFonts w:hint="eastAsia" w:ascii="宋体" w:hAnsi="宋体" w:eastAsia="宋体" w:cs="宋体"/>
          <w:color w:val="auto"/>
          <w:kern w:val="2"/>
          <w:sz w:val="21"/>
          <w:szCs w:val="24"/>
          <w:highlight w:val="none"/>
          <w:lang w:val="en-US" w:bidi="ar-SA"/>
        </w:rPr>
        <w:t>免于承担</w:t>
      </w:r>
      <w:r>
        <w:rPr>
          <w:rFonts w:hint="eastAsia" w:ascii="宋体" w:hAnsi="宋体" w:eastAsia="宋体" w:cs="宋体"/>
          <w:color w:val="auto"/>
          <w:kern w:val="2"/>
          <w:sz w:val="21"/>
          <w:szCs w:val="24"/>
          <w:highlight w:val="none"/>
          <w:lang w:val="en-US" w:eastAsia="zh-CN" w:bidi="ar-SA"/>
        </w:rPr>
        <w:t>违约</w:t>
      </w:r>
      <w:r>
        <w:rPr>
          <w:rFonts w:hint="eastAsia" w:ascii="宋体" w:hAnsi="宋体" w:eastAsia="宋体" w:cs="宋体"/>
          <w:color w:val="auto"/>
          <w:kern w:val="2"/>
          <w:sz w:val="21"/>
          <w:szCs w:val="24"/>
          <w:highlight w:val="none"/>
          <w:lang w:val="en-US" w:bidi="ar-SA"/>
        </w:rPr>
        <w:t>责任。</w:t>
      </w:r>
    </w:p>
    <w:p w14:paraId="42C54C1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6372A562">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一</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税费</w:t>
      </w:r>
    </w:p>
    <w:p w14:paraId="581E7C3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在中国境内</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外发生的与本合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执行有关的一切</w:t>
      </w:r>
      <w:r>
        <w:rPr>
          <w:rFonts w:hint="eastAsia" w:ascii="宋体" w:hAnsi="宋体" w:eastAsia="宋体" w:cs="宋体"/>
          <w:color w:val="auto"/>
          <w:kern w:val="2"/>
          <w:sz w:val="21"/>
          <w:szCs w:val="24"/>
          <w:highlight w:val="none"/>
          <w:lang w:val="en-US" w:eastAsia="zh-CN" w:bidi="ar-SA"/>
        </w:rPr>
        <w:t>税</w:t>
      </w:r>
      <w:r>
        <w:rPr>
          <w:rFonts w:hint="eastAsia" w:ascii="宋体" w:hAnsi="宋体" w:eastAsia="宋体" w:cs="宋体"/>
          <w:color w:val="auto"/>
          <w:kern w:val="2"/>
          <w:sz w:val="21"/>
          <w:szCs w:val="24"/>
          <w:highlight w:val="none"/>
          <w:lang w:val="en-US" w:bidi="ar-SA"/>
        </w:rPr>
        <w:t>费均由乙方</w:t>
      </w:r>
      <w:r>
        <w:rPr>
          <w:rFonts w:hint="eastAsia" w:ascii="宋体" w:hAnsi="宋体" w:eastAsia="宋体" w:cs="宋体"/>
          <w:color w:val="auto"/>
          <w:kern w:val="2"/>
          <w:sz w:val="21"/>
          <w:szCs w:val="24"/>
          <w:highlight w:val="none"/>
          <w:lang w:val="en-US" w:eastAsia="zh-CN" w:bidi="ar-SA"/>
        </w:rPr>
        <w:t>负担</w:t>
      </w:r>
      <w:r>
        <w:rPr>
          <w:rFonts w:hint="eastAsia" w:ascii="宋体" w:hAnsi="宋体" w:eastAsia="宋体" w:cs="宋体"/>
          <w:color w:val="auto"/>
          <w:kern w:val="2"/>
          <w:sz w:val="21"/>
          <w:szCs w:val="24"/>
          <w:highlight w:val="none"/>
          <w:lang w:val="en-US" w:bidi="ar-SA"/>
        </w:rPr>
        <w:t>。</w:t>
      </w:r>
    </w:p>
    <w:p w14:paraId="36E0752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081D400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bidi="ar-SA"/>
        </w:rPr>
        <w:t>十</w:t>
      </w:r>
      <w:r>
        <w:rPr>
          <w:rFonts w:hint="eastAsia" w:ascii="宋体" w:hAnsi="宋体" w:cs="宋体"/>
          <w:b/>
          <w:bCs/>
          <w:color w:val="auto"/>
          <w:kern w:val="2"/>
          <w:sz w:val="21"/>
          <w:szCs w:val="24"/>
          <w:highlight w:val="none"/>
          <w:lang w:val="en-US" w:eastAsia="zh-CN" w:bidi="ar-SA"/>
        </w:rPr>
        <w:t>二</w:t>
      </w:r>
      <w:r>
        <w:rPr>
          <w:rFonts w:hint="eastAsia" w:ascii="宋体" w:hAnsi="宋体" w:eastAsia="宋体" w:cs="宋体"/>
          <w:b/>
          <w:bCs/>
          <w:color w:val="auto"/>
          <w:kern w:val="2"/>
          <w:sz w:val="21"/>
          <w:szCs w:val="24"/>
          <w:highlight w:val="none"/>
          <w:lang w:val="en-US" w:bidi="ar-SA"/>
        </w:rPr>
        <w:t>、其它</w:t>
      </w:r>
    </w:p>
    <w:p w14:paraId="47F78CD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1.本合同所有</w:t>
      </w:r>
      <w:r>
        <w:rPr>
          <w:rFonts w:hint="eastAsia" w:ascii="宋体" w:hAnsi="宋体" w:eastAsia="宋体" w:cs="宋体"/>
          <w:color w:val="auto"/>
          <w:kern w:val="2"/>
          <w:sz w:val="21"/>
          <w:szCs w:val="24"/>
          <w:highlight w:val="none"/>
          <w:lang w:val="en-US" w:eastAsia="zh-CN" w:bidi="ar-SA"/>
        </w:rPr>
        <w:t>附</w:t>
      </w:r>
      <w:r>
        <w:rPr>
          <w:rFonts w:hint="eastAsia" w:ascii="宋体" w:hAnsi="宋体" w:eastAsia="宋体" w:cs="宋体"/>
          <w:color w:val="auto"/>
          <w:kern w:val="2"/>
          <w:sz w:val="21"/>
          <w:szCs w:val="24"/>
          <w:highlight w:val="none"/>
          <w:lang w:val="en-US" w:bidi="ar-SA"/>
        </w:rPr>
        <w:t>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招标文件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投标文件。中标通知书均为合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的有效组成部分，与本合具有同等法律效力。</w:t>
      </w:r>
    </w:p>
    <w:p w14:paraId="4971FB4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2.在执行本合同的过程中，所有</w:t>
      </w:r>
      <w:r>
        <w:rPr>
          <w:rFonts w:hint="eastAsia" w:ascii="宋体" w:hAnsi="宋体" w:eastAsia="宋体" w:cs="宋体"/>
          <w:color w:val="auto"/>
          <w:kern w:val="2"/>
          <w:sz w:val="21"/>
          <w:szCs w:val="24"/>
          <w:highlight w:val="none"/>
          <w:lang w:val="en-US" w:eastAsia="zh-CN" w:bidi="ar-SA"/>
        </w:rPr>
        <w:t>经</w:t>
      </w:r>
      <w:r>
        <w:rPr>
          <w:rFonts w:hint="eastAsia" w:ascii="宋体" w:hAnsi="宋体" w:eastAsia="宋体" w:cs="宋体"/>
          <w:color w:val="auto"/>
          <w:kern w:val="2"/>
          <w:sz w:val="21"/>
          <w:szCs w:val="24"/>
          <w:highlight w:val="none"/>
          <w:lang w:val="en-US" w:bidi="ar-SA"/>
        </w:rPr>
        <w:t>双方签署确认的文件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包括会议</w:t>
      </w:r>
      <w:r>
        <w:rPr>
          <w:rFonts w:hint="eastAsia" w:ascii="宋体" w:hAnsi="宋体" w:eastAsia="宋体" w:cs="宋体"/>
          <w:color w:val="auto"/>
          <w:kern w:val="2"/>
          <w:sz w:val="21"/>
          <w:szCs w:val="24"/>
          <w:highlight w:val="none"/>
          <w:lang w:val="en-US" w:eastAsia="zh-CN" w:bidi="ar-SA"/>
        </w:rPr>
        <w:t>纪</w:t>
      </w:r>
      <w:r>
        <w:rPr>
          <w:rFonts w:hint="eastAsia" w:ascii="宋体" w:hAnsi="宋体" w:eastAsia="宋体" w:cs="宋体"/>
          <w:color w:val="auto"/>
          <w:kern w:val="2"/>
          <w:sz w:val="21"/>
          <w:szCs w:val="24"/>
          <w:highlight w:val="none"/>
          <w:lang w:val="en-US" w:bidi="ar-SA"/>
        </w:rPr>
        <w:t>要</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补充协议</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往来信函</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即成为本合同的有效</w:t>
      </w:r>
      <w:r>
        <w:rPr>
          <w:rFonts w:hint="eastAsia" w:ascii="宋体" w:hAnsi="宋体" w:eastAsia="宋体" w:cs="宋体"/>
          <w:color w:val="auto"/>
          <w:kern w:val="2"/>
          <w:sz w:val="21"/>
          <w:szCs w:val="24"/>
          <w:highlight w:val="none"/>
          <w:lang w:val="en-US" w:eastAsia="zh-CN" w:bidi="ar-SA"/>
        </w:rPr>
        <w:t>组成部分。</w:t>
      </w:r>
    </w:p>
    <w:p w14:paraId="5A87D88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3.如一方地址、电话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传真号码有变更，应在</w:t>
      </w:r>
      <w:r>
        <w:rPr>
          <w:rFonts w:hint="eastAsia" w:ascii="宋体" w:hAnsi="宋体" w:eastAsia="宋体" w:cs="宋体"/>
          <w:color w:val="auto"/>
          <w:kern w:val="2"/>
          <w:sz w:val="21"/>
          <w:szCs w:val="24"/>
          <w:highlight w:val="none"/>
          <w:lang w:val="en-US" w:eastAsia="zh-CN" w:bidi="ar-SA"/>
        </w:rPr>
        <w:t>变</w:t>
      </w:r>
      <w:r>
        <w:rPr>
          <w:rFonts w:hint="eastAsia" w:ascii="宋体" w:hAnsi="宋体" w:eastAsia="宋体" w:cs="宋体"/>
          <w:color w:val="auto"/>
          <w:kern w:val="2"/>
          <w:sz w:val="21"/>
          <w:szCs w:val="24"/>
          <w:highlight w:val="none"/>
          <w:lang w:val="en-US" w:bidi="ar-SA"/>
        </w:rPr>
        <w:t>更当日内书面通知对方，否则，应承担相应</w:t>
      </w:r>
      <w:r>
        <w:rPr>
          <w:rFonts w:hint="eastAsia" w:ascii="宋体" w:hAnsi="宋体" w:eastAsia="宋体" w:cs="宋体"/>
          <w:color w:val="auto"/>
          <w:kern w:val="2"/>
          <w:sz w:val="21"/>
          <w:szCs w:val="24"/>
          <w:highlight w:val="none"/>
          <w:lang w:val="en-US" w:eastAsia="zh-CN" w:bidi="ar-SA"/>
        </w:rPr>
        <w:t>责</w:t>
      </w:r>
      <w:r>
        <w:rPr>
          <w:rFonts w:hint="eastAsia" w:ascii="宋体" w:hAnsi="宋体" w:eastAsia="宋体" w:cs="宋体"/>
          <w:color w:val="auto"/>
          <w:kern w:val="2"/>
          <w:sz w:val="21"/>
          <w:szCs w:val="24"/>
          <w:highlight w:val="none"/>
          <w:lang w:val="en-US" w:bidi="ar-SA"/>
        </w:rPr>
        <w:t>任。</w:t>
      </w:r>
    </w:p>
    <w:p w14:paraId="2F77A26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4.除甲方事先书面同意外，乙方不得部分成全部转让</w:t>
      </w:r>
      <w:r>
        <w:rPr>
          <w:rFonts w:hint="eastAsia" w:ascii="宋体" w:hAnsi="宋体" w:eastAsia="宋体" w:cs="宋体"/>
          <w:color w:val="auto"/>
          <w:kern w:val="2"/>
          <w:sz w:val="21"/>
          <w:szCs w:val="24"/>
          <w:highlight w:val="none"/>
          <w:lang w:val="en-US" w:eastAsia="zh-CN" w:bidi="ar-SA"/>
        </w:rPr>
        <w:t>其</w:t>
      </w:r>
      <w:r>
        <w:rPr>
          <w:rFonts w:hint="eastAsia" w:ascii="宋体" w:hAnsi="宋体" w:eastAsia="宋体" w:cs="宋体"/>
          <w:color w:val="auto"/>
          <w:kern w:val="2"/>
          <w:sz w:val="21"/>
          <w:szCs w:val="24"/>
          <w:highlight w:val="none"/>
          <w:lang w:val="en-US" w:bidi="ar-SA"/>
        </w:rPr>
        <w:t>应履行的合</w:t>
      </w:r>
      <w:r>
        <w:rPr>
          <w:rFonts w:hint="eastAsia" w:ascii="宋体" w:hAnsi="宋体" w:eastAsia="宋体" w:cs="宋体"/>
          <w:color w:val="auto"/>
          <w:kern w:val="2"/>
          <w:sz w:val="21"/>
          <w:szCs w:val="24"/>
          <w:highlight w:val="none"/>
          <w:lang w:val="en-US" w:eastAsia="zh-CN" w:bidi="ar-SA"/>
        </w:rPr>
        <w:t>同项</w:t>
      </w:r>
      <w:r>
        <w:rPr>
          <w:rFonts w:hint="eastAsia" w:ascii="宋体" w:hAnsi="宋体" w:eastAsia="宋体" w:cs="宋体"/>
          <w:color w:val="auto"/>
          <w:kern w:val="2"/>
          <w:sz w:val="21"/>
          <w:szCs w:val="24"/>
          <w:highlight w:val="none"/>
          <w:lang w:val="en-US" w:bidi="ar-SA"/>
        </w:rPr>
        <w:t>下的义务。</w:t>
      </w:r>
    </w:p>
    <w:p w14:paraId="56F0A6F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6B3557F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bidi="ar-SA"/>
        </w:rPr>
        <w:t>、合同</w:t>
      </w:r>
      <w:r>
        <w:rPr>
          <w:rFonts w:hint="eastAsia" w:ascii="宋体" w:hAnsi="宋体" w:eastAsia="宋体" w:cs="宋体"/>
          <w:b/>
          <w:bCs/>
          <w:color w:val="auto"/>
          <w:kern w:val="2"/>
          <w:sz w:val="21"/>
          <w:szCs w:val="24"/>
          <w:highlight w:val="none"/>
          <w:lang w:val="en-US" w:eastAsia="zh-CN" w:bidi="ar-SA"/>
        </w:rPr>
        <w:t>生</w:t>
      </w:r>
      <w:r>
        <w:rPr>
          <w:rFonts w:hint="eastAsia" w:ascii="宋体" w:hAnsi="宋体" w:eastAsia="宋体" w:cs="宋体"/>
          <w:b/>
          <w:bCs/>
          <w:color w:val="auto"/>
          <w:kern w:val="2"/>
          <w:sz w:val="21"/>
          <w:szCs w:val="24"/>
          <w:highlight w:val="none"/>
          <w:lang w:val="en-US" w:bidi="ar-SA"/>
        </w:rPr>
        <w:t>效</w:t>
      </w:r>
    </w:p>
    <w:p w14:paraId="58D27EB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1.本合同在甲乙双方法人代表或其授权代表签字盖章后生效。</w:t>
      </w:r>
    </w:p>
    <w:p w14:paraId="206F00D6">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ascii="宋体" w:hAnsi="宋体" w:eastAsia="宋体" w:cs="宋体"/>
          <w:color w:val="auto"/>
          <w:kern w:val="2"/>
          <w:sz w:val="21"/>
          <w:szCs w:val="24"/>
          <w:highlight w:val="none"/>
          <w:lang w:val="en-US" w:bidi="ar-SA"/>
        </w:rPr>
        <w:t>2.合同一式</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份</w:t>
      </w:r>
      <w:r>
        <w:rPr>
          <w:rFonts w:hint="eastAsia" w:ascii="宋体" w:hAnsi="宋体" w:eastAsia="宋体" w:cs="宋体"/>
          <w:color w:val="auto"/>
          <w:kern w:val="2"/>
          <w:sz w:val="21"/>
          <w:szCs w:val="24"/>
          <w:highlight w:val="none"/>
          <w:lang w:val="en-US" w:eastAsia="zh-CN" w:bidi="ar-SA"/>
        </w:rPr>
        <w:t>，其中甲方执</w:t>
      </w:r>
      <w:r>
        <w:rPr>
          <w:rFonts w:hint="eastAsia" w:ascii="宋体" w:hAnsi="宋体" w:eastAsia="宋体" w:cs="宋体"/>
          <w:color w:val="auto"/>
          <w:kern w:val="2"/>
          <w:sz w:val="21"/>
          <w:szCs w:val="24"/>
          <w:highlight w:val="none"/>
          <w:u w:val="single"/>
          <w:lang w:val="en-US" w:eastAsia="zh-CN" w:bidi="ar-SA"/>
        </w:rPr>
        <w:t xml:space="preserve">   份</w:t>
      </w:r>
      <w:r>
        <w:rPr>
          <w:rFonts w:hint="eastAsia" w:ascii="宋体" w:hAnsi="宋体" w:eastAsia="宋体" w:cs="宋体"/>
          <w:color w:val="auto"/>
          <w:kern w:val="2"/>
          <w:sz w:val="21"/>
          <w:szCs w:val="24"/>
          <w:highlight w:val="none"/>
          <w:lang w:val="en-US" w:eastAsia="zh-CN" w:bidi="ar-SA"/>
        </w:rPr>
        <w:t>，乙方执</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eastAsia="zh-CN" w:bidi="ar-SA"/>
        </w:rPr>
        <w:t>份，招标代理执</w:t>
      </w:r>
      <w:r>
        <w:rPr>
          <w:rFonts w:hint="eastAsia" w:ascii="宋体" w:hAnsi="宋体" w:eastAsia="宋体" w:cs="宋体"/>
          <w:color w:val="auto"/>
          <w:kern w:val="2"/>
          <w:sz w:val="21"/>
          <w:szCs w:val="24"/>
          <w:highlight w:val="none"/>
          <w:u w:val="single"/>
          <w:lang w:val="en-US" w:eastAsia="zh-CN" w:bidi="ar-SA"/>
        </w:rPr>
        <w:t xml:space="preserve"> 壹 </w:t>
      </w:r>
      <w:r>
        <w:rPr>
          <w:rFonts w:hint="eastAsia" w:ascii="宋体" w:hAnsi="宋体" w:eastAsia="宋体" w:cs="宋体"/>
          <w:color w:val="auto"/>
          <w:kern w:val="2"/>
          <w:sz w:val="21"/>
          <w:szCs w:val="24"/>
          <w:highlight w:val="none"/>
          <w:lang w:val="en-US" w:eastAsia="zh-CN" w:bidi="ar-SA"/>
        </w:rPr>
        <w:t>份</w:t>
      </w:r>
      <w:r>
        <w:rPr>
          <w:rFonts w:hint="eastAsia" w:ascii="宋体" w:hAnsi="宋体" w:eastAsia="宋体" w:cs="宋体"/>
          <w:color w:val="auto"/>
          <w:kern w:val="2"/>
          <w:sz w:val="21"/>
          <w:szCs w:val="24"/>
          <w:highlight w:val="none"/>
          <w:lang w:val="en-US" w:bidi="ar-SA"/>
        </w:rPr>
        <w:t>。</w:t>
      </w:r>
      <w:r>
        <w:rPr>
          <w:rFonts w:hint="eastAsia"/>
          <w:color w:val="auto"/>
          <w:sz w:val="20"/>
          <w:szCs w:val="20"/>
          <w:highlight w:val="none"/>
          <w:lang w:val="en-US" w:eastAsia="zh-CN"/>
        </w:rPr>
        <w:t xml:space="preserve"> </w:t>
      </w:r>
    </w:p>
    <w:p w14:paraId="7379690F">
      <w:pPr>
        <w:rPr>
          <w:b/>
          <w:color w:val="auto"/>
          <w:spacing w:val="12"/>
          <w:sz w:val="21"/>
          <w:highlight w:val="none"/>
        </w:rPr>
      </w:pPr>
    </w:p>
    <w:p w14:paraId="4872F49A">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z w:val="21"/>
          <w:highlight w:val="none"/>
        </w:rPr>
      </w:pPr>
      <w:r>
        <w:rPr>
          <w:b/>
          <w:color w:val="auto"/>
          <w:spacing w:val="12"/>
          <w:sz w:val="21"/>
          <w:highlight w:val="none"/>
        </w:rPr>
        <w:t>甲方（盖章</w:t>
      </w:r>
      <w:r>
        <w:rPr>
          <w:b/>
          <w:color w:val="auto"/>
          <w:spacing w:val="6"/>
          <w:sz w:val="21"/>
          <w:highlight w:val="none"/>
        </w:rPr>
        <w:t>）：</w:t>
      </w:r>
      <w:r>
        <w:rPr>
          <w:b/>
          <w:color w:val="auto"/>
          <w:spacing w:val="6"/>
          <w:sz w:val="21"/>
          <w:highlight w:val="none"/>
        </w:rPr>
        <w:tab/>
      </w:r>
      <w:r>
        <w:rPr>
          <w:b/>
          <w:color w:val="auto"/>
          <w:spacing w:val="6"/>
          <w:sz w:val="21"/>
          <w:highlight w:val="none"/>
        </w:rPr>
        <w:tab/>
      </w:r>
      <w:r>
        <w:rPr>
          <w:b/>
          <w:color w:val="auto"/>
          <w:spacing w:val="12"/>
          <w:sz w:val="21"/>
          <w:highlight w:val="none"/>
        </w:rPr>
        <w:t>乙方（盖章</w:t>
      </w:r>
      <w:r>
        <w:rPr>
          <w:b/>
          <w:color w:val="auto"/>
          <w:spacing w:val="-3"/>
          <w:sz w:val="21"/>
          <w:highlight w:val="none"/>
        </w:rPr>
        <w:t xml:space="preserve">）： </w:t>
      </w:r>
    </w:p>
    <w:p w14:paraId="5A6FD56E">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z w:val="21"/>
          <w:highlight w:val="none"/>
        </w:rPr>
      </w:pPr>
      <w:r>
        <w:rPr>
          <w:b/>
          <w:color w:val="auto"/>
          <w:spacing w:val="12"/>
          <w:sz w:val="21"/>
          <w:highlight w:val="none"/>
        </w:rPr>
        <w:t>代表</w:t>
      </w:r>
      <w:r>
        <w:rPr>
          <w:b/>
          <w:color w:val="auto"/>
          <w:sz w:val="21"/>
          <w:highlight w:val="none"/>
        </w:rPr>
        <w:t>：</w:t>
      </w:r>
      <w:r>
        <w:rPr>
          <w:b/>
          <w:color w:val="auto"/>
          <w:sz w:val="21"/>
          <w:highlight w:val="none"/>
        </w:rPr>
        <w:tab/>
      </w:r>
      <w:r>
        <w:rPr>
          <w:rFonts w:hint="eastAsia"/>
          <w:b/>
          <w:color w:val="auto"/>
          <w:sz w:val="21"/>
          <w:highlight w:val="none"/>
          <w:lang w:val="en-US" w:eastAsia="zh-CN"/>
        </w:rPr>
        <w:t xml:space="preserve">    </w:t>
      </w:r>
      <w:r>
        <w:rPr>
          <w:b/>
          <w:color w:val="auto"/>
          <w:spacing w:val="12"/>
          <w:sz w:val="21"/>
          <w:highlight w:val="none"/>
        </w:rPr>
        <w:t>代表</w:t>
      </w:r>
      <w:r>
        <w:rPr>
          <w:b/>
          <w:color w:val="auto"/>
          <w:sz w:val="21"/>
          <w:highlight w:val="none"/>
        </w:rPr>
        <w:t>：</w:t>
      </w:r>
    </w:p>
    <w:p w14:paraId="59077324">
      <w:pPr>
        <w:spacing w:before="0" w:line="268" w:lineRule="exact"/>
        <w:ind w:left="490" w:right="0" w:firstLine="0"/>
        <w:jc w:val="left"/>
        <w:rPr>
          <w:color w:val="auto"/>
          <w:sz w:val="21"/>
          <w:highlight w:val="none"/>
        </w:rPr>
      </w:pPr>
    </w:p>
    <w:p w14:paraId="6662FF84">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签定地点：</w:t>
      </w:r>
    </w:p>
    <w:p w14:paraId="79656B60">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签定日期：</w:t>
      </w:r>
    </w:p>
    <w:p w14:paraId="6CEDA9A1">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开户名称：</w:t>
      </w:r>
    </w:p>
    <w:p w14:paraId="509671FD">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 xml:space="preserve">银行帐号： </w:t>
      </w:r>
    </w:p>
    <w:p w14:paraId="30A9FAD4">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ascii="宋体" w:eastAsia="宋体"/>
          <w:b/>
          <w:color w:val="auto"/>
          <w:sz w:val="36"/>
          <w:szCs w:val="36"/>
          <w:highlight w:val="none"/>
        </w:rPr>
      </w:pPr>
      <w:r>
        <w:rPr>
          <w:rFonts w:hint="eastAsia"/>
          <w:color w:val="auto"/>
          <w:sz w:val="20"/>
          <w:szCs w:val="20"/>
          <w:highlight w:val="none"/>
          <w:lang w:val="en-US" w:eastAsia="zh-CN"/>
        </w:rPr>
        <w:t>开 户 行：</w:t>
      </w:r>
    </w:p>
    <w:p w14:paraId="1ABE372A">
      <w:pPr>
        <w:spacing w:line="360" w:lineRule="auto"/>
        <w:rPr>
          <w:rFonts w:hint="eastAsia"/>
          <w:color w:val="auto"/>
          <w:highlight w:val="none"/>
        </w:rPr>
      </w:pPr>
      <w:r>
        <w:rPr>
          <w:rFonts w:hint="eastAsia"/>
          <w:color w:val="auto"/>
          <w:highlight w:val="none"/>
        </w:rPr>
        <w:t>附件1：</w:t>
      </w:r>
    </w:p>
    <w:p w14:paraId="12F773DE">
      <w:pPr>
        <w:adjustRightInd w:val="0"/>
        <w:snapToGrid w:val="0"/>
        <w:spacing w:line="360" w:lineRule="auto"/>
        <w:jc w:val="center"/>
        <w:rPr>
          <w:rFonts w:hint="eastAsia" w:ascii="宋体" w:hAnsi="宋体" w:cs="仿宋"/>
          <w:b/>
          <w:bCs/>
          <w:color w:val="auto"/>
          <w:spacing w:val="-2"/>
          <w:sz w:val="24"/>
          <w:highlight w:val="none"/>
        </w:rPr>
      </w:pPr>
      <w:r>
        <w:rPr>
          <w:rFonts w:hint="eastAsia" w:ascii="宋体" w:hAnsi="宋体" w:cs="仿宋"/>
          <w:b/>
          <w:bCs/>
          <w:color w:val="auto"/>
          <w:spacing w:val="-2"/>
          <w:sz w:val="24"/>
          <w:highlight w:val="none"/>
        </w:rPr>
        <w:t>石排镇“慧眼”视频运维项目考核打分表</w:t>
      </w:r>
    </w:p>
    <w:p w14:paraId="7557199F">
      <w:pPr>
        <w:rPr>
          <w:rFonts w:hint="eastAsia"/>
          <w:color w:val="auto"/>
          <w:szCs w:val="21"/>
          <w:highlight w:val="none"/>
        </w:rPr>
      </w:pPr>
      <w:r>
        <w:rPr>
          <w:rFonts w:hint="eastAsia" w:ascii="宋体" w:hAnsi="宋体" w:cs="宋体"/>
          <w:color w:val="auto"/>
          <w:kern w:val="0"/>
          <w:szCs w:val="21"/>
          <w:highlight w:val="none"/>
        </w:rPr>
        <w:t>考核日期：    年   月   日至     年   月   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586"/>
        <w:gridCol w:w="3104"/>
        <w:gridCol w:w="1713"/>
        <w:gridCol w:w="965"/>
      </w:tblGrid>
      <w:tr w14:paraId="61BD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2" w:type="dxa"/>
            <w:shd w:val="clear" w:color="auto" w:fill="auto"/>
            <w:noWrap w:val="0"/>
            <w:vAlign w:val="center"/>
          </w:tcPr>
          <w:p w14:paraId="0EFAAD32">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考核项目</w:t>
            </w:r>
          </w:p>
        </w:tc>
        <w:tc>
          <w:tcPr>
            <w:tcW w:w="1701" w:type="dxa"/>
            <w:shd w:val="clear" w:color="auto" w:fill="auto"/>
            <w:noWrap w:val="0"/>
            <w:vAlign w:val="center"/>
          </w:tcPr>
          <w:p w14:paraId="66A72A86">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考核内容</w:t>
            </w:r>
          </w:p>
        </w:tc>
        <w:tc>
          <w:tcPr>
            <w:tcW w:w="3402" w:type="dxa"/>
            <w:shd w:val="clear" w:color="auto" w:fill="auto"/>
            <w:noWrap w:val="0"/>
            <w:vAlign w:val="center"/>
          </w:tcPr>
          <w:p w14:paraId="282D95DC">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考核指标</w:t>
            </w:r>
          </w:p>
        </w:tc>
        <w:tc>
          <w:tcPr>
            <w:tcW w:w="1843" w:type="dxa"/>
            <w:shd w:val="clear" w:color="auto" w:fill="auto"/>
            <w:noWrap w:val="0"/>
            <w:vAlign w:val="center"/>
          </w:tcPr>
          <w:p w14:paraId="276072C4">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考核方法</w:t>
            </w:r>
          </w:p>
        </w:tc>
        <w:tc>
          <w:tcPr>
            <w:tcW w:w="1030" w:type="dxa"/>
            <w:shd w:val="clear" w:color="auto" w:fill="auto"/>
            <w:noWrap w:val="0"/>
            <w:vAlign w:val="center"/>
          </w:tcPr>
          <w:p w14:paraId="3C41DC17">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b/>
                <w:bCs/>
                <w:color w:val="auto"/>
                <w:szCs w:val="21"/>
                <w:highlight w:val="none"/>
              </w:rPr>
              <w:t>评分</w:t>
            </w:r>
          </w:p>
        </w:tc>
      </w:tr>
      <w:tr w14:paraId="0CF1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shd w:val="clear" w:color="auto" w:fill="auto"/>
            <w:noWrap w:val="0"/>
            <w:vAlign w:val="center"/>
          </w:tcPr>
          <w:p w14:paraId="2650ACE6">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olor w:val="auto"/>
                <w:szCs w:val="21"/>
                <w:highlight w:val="none"/>
              </w:rPr>
              <w:t>运维服务</w:t>
            </w:r>
          </w:p>
        </w:tc>
        <w:tc>
          <w:tcPr>
            <w:tcW w:w="1701" w:type="dxa"/>
            <w:shd w:val="clear" w:color="auto" w:fill="auto"/>
            <w:noWrap w:val="0"/>
            <w:vAlign w:val="center"/>
          </w:tcPr>
          <w:p w14:paraId="40F7BAFE">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日巡检工作执行</w:t>
            </w:r>
          </w:p>
          <w:p w14:paraId="52790CAA">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(总分20分)</w:t>
            </w:r>
          </w:p>
        </w:tc>
        <w:tc>
          <w:tcPr>
            <w:tcW w:w="3402" w:type="dxa"/>
            <w:shd w:val="clear" w:color="auto" w:fill="auto"/>
            <w:noWrap w:val="0"/>
            <w:vAlign w:val="center"/>
          </w:tcPr>
          <w:p w14:paraId="79B520D2">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按运维服务要求开展每日巡检工作，包括慧眼视频在线率、</w:t>
            </w:r>
            <w:r>
              <w:rPr>
                <w:rFonts w:hint="default" w:ascii="宋体" w:hAnsi="宋体" w:eastAsia="宋体" w:cs="宋体"/>
                <w:color w:val="auto"/>
                <w:kern w:val="0"/>
                <w:szCs w:val="21"/>
                <w:highlight w:val="none"/>
                <w:lang w:val="zh-CN"/>
              </w:rPr>
              <w:t>慧眼人脸联网、时钟准确率</w:t>
            </w:r>
            <w:r>
              <w:rPr>
                <w:rFonts w:ascii="宋体" w:hAnsi="宋体" w:eastAsia="宋体" w:cs="宋体"/>
                <w:color w:val="auto"/>
                <w:kern w:val="0"/>
                <w:szCs w:val="21"/>
                <w:highlight w:val="none"/>
                <w:lang w:val="zh-CN"/>
              </w:rPr>
              <w:t>等</w:t>
            </w:r>
            <w:r>
              <w:rPr>
                <w:rFonts w:ascii="宋体" w:hAnsi="宋体" w:eastAsia="宋体" w:cs="宋体"/>
                <w:color w:val="auto"/>
                <w:kern w:val="0"/>
                <w:szCs w:val="21"/>
                <w:highlight w:val="none"/>
              </w:rPr>
              <w:t>。</w:t>
            </w:r>
          </w:p>
        </w:tc>
        <w:tc>
          <w:tcPr>
            <w:tcW w:w="1843" w:type="dxa"/>
            <w:shd w:val="clear" w:color="auto" w:fill="auto"/>
            <w:noWrap w:val="0"/>
            <w:vAlign w:val="center"/>
          </w:tcPr>
          <w:p w14:paraId="2C752CDF">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0ED31105">
            <w:pPr>
              <w:autoSpaceDE w:val="0"/>
              <w:autoSpaceDN w:val="0"/>
              <w:adjustRightInd w:val="0"/>
              <w:spacing w:line="400" w:lineRule="exact"/>
              <w:jc w:val="center"/>
              <w:rPr>
                <w:rFonts w:ascii="宋体" w:hAnsi="宋体" w:eastAsia="宋体"/>
                <w:color w:val="auto"/>
                <w:szCs w:val="21"/>
                <w:highlight w:val="none"/>
              </w:rPr>
            </w:pPr>
          </w:p>
        </w:tc>
      </w:tr>
      <w:tr w14:paraId="40CE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6ACE9150">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61FD83D8">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运维事件响应</w:t>
            </w:r>
          </w:p>
          <w:p w14:paraId="1D697529">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0430989E">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快速响应事件，减少对业务的影响，保持与相关人员的良好沟通，确保事件快速、准确、有效处理。</w:t>
            </w:r>
          </w:p>
        </w:tc>
        <w:tc>
          <w:tcPr>
            <w:tcW w:w="1843" w:type="dxa"/>
            <w:shd w:val="clear" w:color="auto" w:fill="auto"/>
            <w:noWrap w:val="0"/>
            <w:vAlign w:val="center"/>
          </w:tcPr>
          <w:p w14:paraId="10E16E57">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1CB68E3F">
            <w:pPr>
              <w:autoSpaceDE w:val="0"/>
              <w:autoSpaceDN w:val="0"/>
              <w:adjustRightInd w:val="0"/>
              <w:spacing w:line="400" w:lineRule="exact"/>
              <w:jc w:val="center"/>
              <w:rPr>
                <w:rFonts w:ascii="宋体" w:hAnsi="宋体" w:eastAsia="宋体"/>
                <w:color w:val="auto"/>
                <w:szCs w:val="21"/>
                <w:highlight w:val="none"/>
              </w:rPr>
            </w:pPr>
          </w:p>
        </w:tc>
      </w:tr>
      <w:tr w14:paraId="02E8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01B4BFB9">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6D3A06B7">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慧眼平台系统中断服务时间</w:t>
            </w:r>
          </w:p>
          <w:p w14:paraId="50E47235">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3567A0FB">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慧眼平台中断服务时间累计超过48小时，扣1分。网络中断、宕机原因为电源、主干线路中断等非设备故障及不可抗力因素者除外）</w:t>
            </w:r>
          </w:p>
        </w:tc>
        <w:tc>
          <w:tcPr>
            <w:tcW w:w="1843" w:type="dxa"/>
            <w:shd w:val="clear" w:color="auto" w:fill="auto"/>
            <w:noWrap w:val="0"/>
            <w:vAlign w:val="center"/>
          </w:tcPr>
          <w:p w14:paraId="7D28199C">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07266993">
            <w:pPr>
              <w:autoSpaceDE w:val="0"/>
              <w:autoSpaceDN w:val="0"/>
              <w:adjustRightInd w:val="0"/>
              <w:spacing w:line="400" w:lineRule="exact"/>
              <w:jc w:val="center"/>
              <w:rPr>
                <w:rFonts w:ascii="宋体" w:hAnsi="宋体" w:eastAsia="宋体"/>
                <w:color w:val="auto"/>
                <w:szCs w:val="21"/>
                <w:highlight w:val="none"/>
              </w:rPr>
            </w:pPr>
          </w:p>
        </w:tc>
      </w:tr>
      <w:tr w14:paraId="4E1E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666ECB79">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4919F432">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日常故障处理</w:t>
            </w:r>
          </w:p>
          <w:p w14:paraId="39A2A4EA">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(总分20分)</w:t>
            </w:r>
          </w:p>
        </w:tc>
        <w:tc>
          <w:tcPr>
            <w:tcW w:w="3402" w:type="dxa"/>
            <w:shd w:val="clear" w:color="auto" w:fill="auto"/>
            <w:noWrap w:val="0"/>
            <w:vAlign w:val="center"/>
          </w:tcPr>
          <w:p w14:paraId="6DDA7B04">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供电电源损坏、摄像头照射角度偏离、画面模糊不清、障碍物遮挡、水印字幕格式不规范等日常运维故障，需按甲方要求在规定时间内完成整改。</w:t>
            </w:r>
          </w:p>
        </w:tc>
        <w:tc>
          <w:tcPr>
            <w:tcW w:w="1843" w:type="dxa"/>
            <w:shd w:val="clear" w:color="auto" w:fill="auto"/>
            <w:noWrap w:val="0"/>
            <w:vAlign w:val="center"/>
          </w:tcPr>
          <w:p w14:paraId="7A5A978D">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3AB628F0">
            <w:pPr>
              <w:autoSpaceDE w:val="0"/>
              <w:autoSpaceDN w:val="0"/>
              <w:adjustRightInd w:val="0"/>
              <w:spacing w:line="400" w:lineRule="exact"/>
              <w:jc w:val="center"/>
              <w:rPr>
                <w:rFonts w:ascii="宋体" w:hAnsi="宋体" w:eastAsia="宋体"/>
                <w:color w:val="auto"/>
                <w:szCs w:val="21"/>
                <w:highlight w:val="none"/>
              </w:rPr>
            </w:pPr>
          </w:p>
        </w:tc>
      </w:tr>
      <w:tr w14:paraId="1656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07BD4973">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510FFA40">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服务态度</w:t>
            </w:r>
          </w:p>
          <w:p w14:paraId="4ACFE08D">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3AED3282">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运维人员的服务态度恶劣的，每次扣1分，连续两次以上，除扣分外，可要求服务方更换运维人员。</w:t>
            </w:r>
          </w:p>
        </w:tc>
        <w:tc>
          <w:tcPr>
            <w:tcW w:w="1843" w:type="dxa"/>
            <w:shd w:val="clear" w:color="auto" w:fill="auto"/>
            <w:noWrap w:val="0"/>
            <w:vAlign w:val="center"/>
          </w:tcPr>
          <w:p w14:paraId="050137DE">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szCs w:val="21"/>
                <w:highlight w:val="none"/>
              </w:rPr>
              <w:t>以投诉的事实为考核依据。</w:t>
            </w:r>
          </w:p>
        </w:tc>
        <w:tc>
          <w:tcPr>
            <w:tcW w:w="1030" w:type="dxa"/>
            <w:shd w:val="clear" w:color="auto" w:fill="auto"/>
            <w:noWrap w:val="0"/>
            <w:vAlign w:val="center"/>
          </w:tcPr>
          <w:p w14:paraId="278F0ACE">
            <w:pPr>
              <w:autoSpaceDE w:val="0"/>
              <w:autoSpaceDN w:val="0"/>
              <w:adjustRightInd w:val="0"/>
              <w:spacing w:line="400" w:lineRule="exact"/>
              <w:jc w:val="center"/>
              <w:rPr>
                <w:rFonts w:ascii="宋体" w:hAnsi="宋体" w:eastAsia="宋体"/>
                <w:color w:val="auto"/>
                <w:szCs w:val="21"/>
                <w:highlight w:val="none"/>
              </w:rPr>
            </w:pPr>
          </w:p>
        </w:tc>
      </w:tr>
      <w:tr w14:paraId="07A3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3CCF7B5C">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5E6B378D">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工作配合</w:t>
            </w:r>
          </w:p>
          <w:p w14:paraId="236A0D10">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15155539">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未能及时完成交办任务，影响有关工作开展的，每次扣1分</w:t>
            </w:r>
          </w:p>
        </w:tc>
        <w:tc>
          <w:tcPr>
            <w:tcW w:w="1843" w:type="dxa"/>
            <w:shd w:val="clear" w:color="auto" w:fill="auto"/>
            <w:noWrap w:val="0"/>
            <w:vAlign w:val="center"/>
          </w:tcPr>
          <w:p w14:paraId="15A0E000">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2A625321">
            <w:pPr>
              <w:autoSpaceDE w:val="0"/>
              <w:autoSpaceDN w:val="0"/>
              <w:adjustRightInd w:val="0"/>
              <w:spacing w:line="400" w:lineRule="exact"/>
              <w:jc w:val="center"/>
              <w:rPr>
                <w:rFonts w:ascii="宋体" w:hAnsi="宋体" w:eastAsia="宋体"/>
                <w:color w:val="auto"/>
                <w:szCs w:val="21"/>
                <w:highlight w:val="none"/>
              </w:rPr>
            </w:pPr>
          </w:p>
        </w:tc>
      </w:tr>
      <w:tr w14:paraId="34FD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5241415E">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75721190">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设备维护</w:t>
            </w:r>
          </w:p>
          <w:p w14:paraId="7FC7E802">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554B3095">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确保慧眼前端视频设备的正常运行，包括摄像头、服务器等。</w:t>
            </w:r>
          </w:p>
        </w:tc>
        <w:tc>
          <w:tcPr>
            <w:tcW w:w="1843" w:type="dxa"/>
            <w:shd w:val="clear" w:color="auto" w:fill="auto"/>
            <w:noWrap w:val="0"/>
            <w:vAlign w:val="center"/>
          </w:tcPr>
          <w:p w14:paraId="7D91E3E3">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522C9315">
            <w:pPr>
              <w:autoSpaceDE w:val="0"/>
              <w:autoSpaceDN w:val="0"/>
              <w:adjustRightInd w:val="0"/>
              <w:spacing w:line="400" w:lineRule="exact"/>
              <w:jc w:val="center"/>
              <w:rPr>
                <w:rFonts w:ascii="宋体" w:hAnsi="宋体" w:eastAsia="宋体"/>
                <w:color w:val="auto"/>
                <w:szCs w:val="21"/>
                <w:highlight w:val="none"/>
              </w:rPr>
            </w:pPr>
          </w:p>
        </w:tc>
      </w:tr>
      <w:tr w14:paraId="35E9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shd w:val="clear" w:color="auto" w:fill="auto"/>
            <w:noWrap w:val="0"/>
            <w:vAlign w:val="top"/>
          </w:tcPr>
          <w:p w14:paraId="58CF62BA">
            <w:pPr>
              <w:autoSpaceDE w:val="0"/>
              <w:autoSpaceDN w:val="0"/>
              <w:adjustRightInd w:val="0"/>
              <w:spacing w:line="400" w:lineRule="exact"/>
              <w:rPr>
                <w:rFonts w:ascii="宋体" w:hAnsi="宋体" w:eastAsia="宋体"/>
                <w:color w:val="auto"/>
                <w:szCs w:val="21"/>
                <w:highlight w:val="none"/>
              </w:rPr>
            </w:pPr>
          </w:p>
        </w:tc>
        <w:tc>
          <w:tcPr>
            <w:tcW w:w="1701" w:type="dxa"/>
            <w:shd w:val="clear" w:color="auto" w:fill="auto"/>
            <w:noWrap w:val="0"/>
            <w:vAlign w:val="center"/>
          </w:tcPr>
          <w:p w14:paraId="5413846A">
            <w:pPr>
              <w:widowControl/>
              <w:autoSpaceDE w:val="0"/>
              <w:autoSpaceDN w:val="0"/>
              <w:adjustRightInd w:val="0"/>
              <w:snapToGrid w:val="0"/>
              <w:contextualSpacing/>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用户支持</w:t>
            </w:r>
          </w:p>
          <w:p w14:paraId="3DB6E4B7">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（总分10分）</w:t>
            </w:r>
          </w:p>
        </w:tc>
        <w:tc>
          <w:tcPr>
            <w:tcW w:w="3402" w:type="dxa"/>
            <w:shd w:val="clear" w:color="auto" w:fill="auto"/>
            <w:noWrap w:val="0"/>
            <w:vAlign w:val="center"/>
          </w:tcPr>
          <w:p w14:paraId="15D2C703">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及时响应和解决用户的问题和反馈。</w:t>
            </w:r>
          </w:p>
        </w:tc>
        <w:tc>
          <w:tcPr>
            <w:tcW w:w="1843" w:type="dxa"/>
            <w:shd w:val="clear" w:color="auto" w:fill="auto"/>
            <w:noWrap w:val="0"/>
            <w:vAlign w:val="center"/>
          </w:tcPr>
          <w:p w14:paraId="695C959E">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由甲方根据实际情况打分。</w:t>
            </w:r>
          </w:p>
        </w:tc>
        <w:tc>
          <w:tcPr>
            <w:tcW w:w="1030" w:type="dxa"/>
            <w:shd w:val="clear" w:color="auto" w:fill="auto"/>
            <w:noWrap w:val="0"/>
            <w:vAlign w:val="center"/>
          </w:tcPr>
          <w:p w14:paraId="32D75D49">
            <w:pPr>
              <w:autoSpaceDE w:val="0"/>
              <w:autoSpaceDN w:val="0"/>
              <w:adjustRightInd w:val="0"/>
              <w:spacing w:line="400" w:lineRule="exact"/>
              <w:jc w:val="center"/>
              <w:rPr>
                <w:rFonts w:ascii="宋体" w:hAnsi="宋体" w:eastAsia="宋体"/>
                <w:color w:val="auto"/>
                <w:szCs w:val="21"/>
                <w:highlight w:val="none"/>
              </w:rPr>
            </w:pPr>
          </w:p>
        </w:tc>
      </w:tr>
      <w:tr w14:paraId="6579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center"/>
          </w:tcPr>
          <w:p w14:paraId="64A424BB">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olor w:val="auto"/>
                <w:szCs w:val="21"/>
                <w:highlight w:val="none"/>
              </w:rPr>
              <w:t>加分项</w:t>
            </w:r>
          </w:p>
        </w:tc>
        <w:tc>
          <w:tcPr>
            <w:tcW w:w="1701" w:type="dxa"/>
            <w:shd w:val="clear" w:color="auto" w:fill="auto"/>
            <w:noWrap w:val="0"/>
            <w:vAlign w:val="center"/>
          </w:tcPr>
          <w:p w14:paraId="60358B6A">
            <w:pPr>
              <w:autoSpaceDE w:val="0"/>
              <w:autoSpaceDN w:val="0"/>
              <w:adjustRightInd w:val="0"/>
              <w:spacing w:line="400" w:lineRule="exact"/>
              <w:jc w:val="center"/>
              <w:rPr>
                <w:rFonts w:ascii="宋体" w:hAnsi="宋体" w:eastAsia="宋体"/>
                <w:color w:val="auto"/>
                <w:szCs w:val="21"/>
                <w:highlight w:val="none"/>
              </w:rPr>
            </w:pPr>
            <w:r>
              <w:rPr>
                <w:rFonts w:ascii="宋体" w:hAnsi="宋体" w:eastAsia="宋体" w:cs="宋体"/>
                <w:color w:val="auto"/>
                <w:kern w:val="0"/>
                <w:szCs w:val="21"/>
                <w:highlight w:val="none"/>
              </w:rPr>
              <w:t>日常运维及重大安保期间表现</w:t>
            </w:r>
          </w:p>
        </w:tc>
        <w:tc>
          <w:tcPr>
            <w:tcW w:w="3402" w:type="dxa"/>
            <w:shd w:val="clear" w:color="auto" w:fill="auto"/>
            <w:noWrap w:val="0"/>
            <w:vAlign w:val="center"/>
          </w:tcPr>
          <w:p w14:paraId="168C6A46">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在日常运维期间，运维人员工作表现良好，能够按照甲方要求，主动增派力量，态度端正、不推诿，积极协调前后端资源解决并最终及时处理故障的，加1-5分/次。</w:t>
            </w:r>
          </w:p>
        </w:tc>
        <w:tc>
          <w:tcPr>
            <w:tcW w:w="1843" w:type="dxa"/>
            <w:shd w:val="clear" w:color="auto" w:fill="auto"/>
            <w:noWrap w:val="0"/>
            <w:vAlign w:val="center"/>
          </w:tcPr>
          <w:p w14:paraId="5D3D23A2">
            <w:pPr>
              <w:autoSpaceDE w:val="0"/>
              <w:autoSpaceDN w:val="0"/>
              <w:adjustRightInd w:val="0"/>
              <w:spacing w:line="400" w:lineRule="exact"/>
              <w:rPr>
                <w:rFonts w:ascii="宋体" w:hAnsi="宋体" w:eastAsia="宋体"/>
                <w:color w:val="auto"/>
                <w:szCs w:val="21"/>
                <w:highlight w:val="none"/>
              </w:rPr>
            </w:pPr>
            <w:r>
              <w:rPr>
                <w:rFonts w:ascii="宋体" w:hAnsi="宋体" w:eastAsia="宋体" w:cs="宋体"/>
                <w:color w:val="auto"/>
                <w:kern w:val="0"/>
                <w:szCs w:val="21"/>
                <w:highlight w:val="none"/>
              </w:rPr>
              <w:t>由甲方根据乙方表现程度酌情加分</w:t>
            </w:r>
          </w:p>
        </w:tc>
        <w:tc>
          <w:tcPr>
            <w:tcW w:w="1030" w:type="dxa"/>
            <w:shd w:val="clear" w:color="auto" w:fill="auto"/>
            <w:noWrap w:val="0"/>
            <w:vAlign w:val="center"/>
          </w:tcPr>
          <w:p w14:paraId="2EB2DBDD">
            <w:pPr>
              <w:autoSpaceDE w:val="0"/>
              <w:autoSpaceDN w:val="0"/>
              <w:adjustRightInd w:val="0"/>
              <w:spacing w:line="400" w:lineRule="exact"/>
              <w:jc w:val="center"/>
              <w:rPr>
                <w:rFonts w:ascii="宋体" w:hAnsi="宋体" w:eastAsia="宋体"/>
                <w:color w:val="auto"/>
                <w:szCs w:val="21"/>
                <w:highlight w:val="none"/>
              </w:rPr>
            </w:pPr>
          </w:p>
        </w:tc>
      </w:tr>
      <w:tr w14:paraId="4A8F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88" w:type="dxa"/>
            <w:gridSpan w:val="4"/>
            <w:shd w:val="clear" w:color="auto" w:fill="auto"/>
            <w:noWrap w:val="0"/>
            <w:vAlign w:val="center"/>
          </w:tcPr>
          <w:p w14:paraId="75926EB3">
            <w:pPr>
              <w:autoSpaceDE w:val="0"/>
              <w:autoSpaceDN w:val="0"/>
              <w:adjustRightInd w:val="0"/>
              <w:spacing w:line="400" w:lineRule="exact"/>
              <w:jc w:val="center"/>
              <w:rPr>
                <w:rFonts w:ascii="宋体" w:hAnsi="宋体" w:eastAsia="宋体"/>
                <w:b/>
                <w:bCs/>
                <w:color w:val="auto"/>
                <w:szCs w:val="21"/>
                <w:highlight w:val="none"/>
              </w:rPr>
            </w:pPr>
            <w:r>
              <w:rPr>
                <w:rFonts w:ascii="宋体" w:hAnsi="宋体" w:eastAsia="宋体" w:cs="宋体"/>
                <w:b/>
                <w:bCs/>
                <w:color w:val="auto"/>
                <w:kern w:val="0"/>
                <w:szCs w:val="21"/>
                <w:highlight w:val="none"/>
              </w:rPr>
              <w:t>综合得分</w:t>
            </w:r>
          </w:p>
        </w:tc>
        <w:tc>
          <w:tcPr>
            <w:tcW w:w="1030" w:type="dxa"/>
            <w:shd w:val="clear" w:color="auto" w:fill="auto"/>
            <w:noWrap w:val="0"/>
            <w:vAlign w:val="center"/>
          </w:tcPr>
          <w:p w14:paraId="15F7AE87">
            <w:pPr>
              <w:autoSpaceDE w:val="0"/>
              <w:autoSpaceDN w:val="0"/>
              <w:adjustRightInd w:val="0"/>
              <w:spacing w:line="400" w:lineRule="exact"/>
              <w:jc w:val="center"/>
              <w:rPr>
                <w:rFonts w:ascii="宋体" w:hAnsi="宋体" w:eastAsia="宋体"/>
                <w:color w:val="auto"/>
                <w:szCs w:val="21"/>
                <w:highlight w:val="none"/>
              </w:rPr>
            </w:pPr>
          </w:p>
        </w:tc>
      </w:tr>
    </w:tbl>
    <w:p w14:paraId="730FA24E">
      <w:pPr>
        <w:spacing w:line="400" w:lineRule="exact"/>
        <w:rPr>
          <w:rFonts w:ascii="宋体" w:hAnsi="宋体"/>
          <w:color w:val="auto"/>
          <w:szCs w:val="21"/>
          <w:highlight w:val="none"/>
        </w:rPr>
      </w:pPr>
      <w:r>
        <w:rPr>
          <w:rFonts w:hint="eastAsia" w:ascii="宋体" w:hAnsi="宋体"/>
          <w:color w:val="auto"/>
          <w:szCs w:val="21"/>
          <w:highlight w:val="none"/>
        </w:rPr>
        <w:t>考核村（社区）：                考核人员：                       日期：     年   月   日</w:t>
      </w:r>
    </w:p>
    <w:p w14:paraId="22236D91">
      <w:pPr>
        <w:spacing w:line="400" w:lineRule="exact"/>
        <w:rPr>
          <w:rFonts w:ascii="宋体" w:hAnsi="宋体"/>
          <w:color w:val="auto"/>
          <w:szCs w:val="21"/>
          <w:highlight w:val="none"/>
        </w:rPr>
      </w:pPr>
    </w:p>
    <w:p w14:paraId="3246F652">
      <w:pPr>
        <w:rPr>
          <w:rFonts w:hint="eastAsia"/>
          <w:b/>
          <w:color w:val="auto"/>
          <w:szCs w:val="24"/>
          <w:highlight w:val="none"/>
        </w:rPr>
      </w:pPr>
      <w:r>
        <w:rPr>
          <w:rFonts w:hint="eastAsia" w:ascii="宋体" w:hAnsi="宋体"/>
          <w:color w:val="auto"/>
          <w:szCs w:val="21"/>
          <w:highlight w:val="none"/>
        </w:rPr>
        <w:t>注：综合检查得分在90分以上的（含90分）为达标。</w:t>
      </w:r>
    </w:p>
    <w:p w14:paraId="4989CBAD">
      <w:pPr>
        <w:rPr>
          <w:rFonts w:hint="eastAsia"/>
          <w:b/>
          <w:color w:val="auto"/>
          <w:szCs w:val="24"/>
          <w:highlight w:val="none"/>
        </w:rPr>
      </w:pPr>
    </w:p>
    <w:p w14:paraId="4B82DA10">
      <w:pPr>
        <w:rPr>
          <w:rFonts w:hint="eastAsia"/>
          <w:b/>
          <w:color w:val="auto"/>
          <w:szCs w:val="24"/>
          <w:highlight w:val="none"/>
        </w:rPr>
      </w:pPr>
    </w:p>
    <w:p w14:paraId="79D82E37">
      <w:pPr>
        <w:rPr>
          <w:rFonts w:hint="eastAsia"/>
          <w:b/>
          <w:color w:val="auto"/>
          <w:szCs w:val="24"/>
          <w:highlight w:val="none"/>
        </w:rPr>
      </w:pPr>
    </w:p>
    <w:p w14:paraId="7BBF11FC">
      <w:pPr>
        <w:rPr>
          <w:rFonts w:hint="eastAsia"/>
          <w:color w:val="auto"/>
          <w:highlight w:val="none"/>
          <w:lang w:val="en-US" w:eastAsia="zh-CN"/>
        </w:rPr>
      </w:pPr>
      <w:r>
        <w:rPr>
          <w:rFonts w:hint="eastAsia"/>
          <w:b/>
          <w:color w:val="auto"/>
          <w:szCs w:val="24"/>
          <w:highlight w:val="none"/>
        </w:rPr>
        <w:t>此仅为合同书样本，以实际签订合同为准</w:t>
      </w:r>
      <w:r>
        <w:rPr>
          <w:rFonts w:hint="eastAsia"/>
          <w:b/>
          <w:color w:val="auto"/>
          <w:szCs w:val="24"/>
          <w:highlight w:val="none"/>
          <w:lang w:eastAsia="zh-CN"/>
        </w:rPr>
        <w:t>，</w:t>
      </w:r>
      <w:r>
        <w:rPr>
          <w:rFonts w:hint="eastAsia"/>
          <w:b/>
          <w:color w:val="auto"/>
          <w:szCs w:val="24"/>
          <w:highlight w:val="none"/>
        </w:rPr>
        <w:t>中标人需根据实际情况和甲方签订相应的合同！</w:t>
      </w:r>
    </w:p>
    <w:p w14:paraId="672945C7">
      <w:pPr>
        <w:rPr>
          <w:rFonts w:hint="eastAsia"/>
          <w:color w:val="auto"/>
          <w:highlight w:val="none"/>
          <w:lang w:val="en-US" w:eastAsia="zh-CN"/>
        </w:rPr>
      </w:pPr>
      <w:r>
        <w:rPr>
          <w:rFonts w:hint="eastAsia"/>
          <w:color w:val="auto"/>
          <w:highlight w:val="none"/>
          <w:lang w:val="en-US" w:eastAsia="zh-CN"/>
        </w:rPr>
        <w:br w:type="page"/>
      </w:r>
    </w:p>
    <w:p w14:paraId="475E7D66">
      <w:pPr>
        <w:pStyle w:val="2"/>
        <w:bidi w:val="0"/>
        <w:rPr>
          <w:rFonts w:hint="eastAsia"/>
          <w:color w:val="auto"/>
          <w:highlight w:val="none"/>
          <w:lang w:val="en-US" w:eastAsia="zh-CN"/>
        </w:rPr>
      </w:pPr>
      <w:bookmarkStart w:id="230" w:name="_Toc2896"/>
      <w:r>
        <w:rPr>
          <w:rFonts w:hint="eastAsia"/>
          <w:color w:val="auto"/>
          <w:highlight w:val="none"/>
          <w:lang w:val="en-US" w:eastAsia="zh-CN"/>
        </w:rPr>
        <w:t>第六篇 响应文件格式</w:t>
      </w:r>
      <w:bookmarkEnd w:id="230"/>
    </w:p>
    <w:p w14:paraId="150B0434">
      <w:pPr>
        <w:rPr>
          <w:rFonts w:hint="eastAsia"/>
          <w:b/>
          <w:bCs/>
          <w:color w:val="auto"/>
          <w:highlight w:val="none"/>
          <w:lang w:val="en-US" w:eastAsia="zh-CN"/>
        </w:rPr>
      </w:pPr>
      <w:r>
        <w:rPr>
          <w:rFonts w:hint="eastAsia"/>
          <w:b/>
          <w:bCs/>
          <w:color w:val="auto"/>
          <w:highlight w:val="none"/>
          <w:lang w:val="en-US" w:eastAsia="zh-CN"/>
        </w:rPr>
        <w:t>注意事项：</w:t>
      </w:r>
    </w:p>
    <w:p w14:paraId="3D16A3C2">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供应商应提交证明其有资格参加投标（响应）和中标后有能力履行合同的相关文件，并作为其响应文件的一部分，所有文件必须真实可靠、不得伪造，否则将按相关规定予以处罚。</w:t>
      </w:r>
    </w:p>
    <w:p w14:paraId="5C571DBF">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1.法人或者其他组织的营业执照等证明文件，自然人的身份证明：</w:t>
      </w:r>
    </w:p>
    <w:p w14:paraId="415B650D">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4FFB15F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1F172E97">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4.财务状况报告，依法缴纳税收和社会保障资金的相关材料</w:t>
      </w:r>
    </w:p>
    <w:p w14:paraId="3BCA3B0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5.具有履行合同所必须的设备和专业技术能力的声明。</w:t>
      </w:r>
    </w:p>
    <w:p w14:paraId="6C6530A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6.供应商参加政府采购前三年内在经营活动中没有重大违法记录书面声明函。</w:t>
      </w:r>
    </w:p>
    <w:p w14:paraId="56BAFA9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7.信用记录查询</w:t>
      </w:r>
    </w:p>
    <w:p w14:paraId="01B762F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（1）查询渠道：通过“信用中国”网站(www.creditchina.gov.cn)和“中国政府采购网”（</w:t>
      </w:r>
      <w:r>
        <w:rPr>
          <w:rFonts w:hint="eastAsia"/>
          <w:color w:val="auto"/>
          <w:sz w:val="20"/>
          <w:szCs w:val="20"/>
          <w:highlight w:val="none"/>
          <w:lang w:val="en-US" w:eastAsia="zh-CN"/>
        </w:rPr>
        <w:fldChar w:fldCharType="begin"/>
      </w:r>
      <w:r>
        <w:rPr>
          <w:rFonts w:hint="eastAsia"/>
          <w:color w:val="auto"/>
          <w:sz w:val="20"/>
          <w:szCs w:val="20"/>
          <w:highlight w:val="none"/>
          <w:lang w:val="en-US" w:eastAsia="zh-CN"/>
        </w:rPr>
        <w:instrText xml:space="preserve"> HYPERLINK "http://www.ccgp.gov.cn/" \h </w:instrText>
      </w:r>
      <w:r>
        <w:rPr>
          <w:rFonts w:hint="eastAsia"/>
          <w:color w:val="auto"/>
          <w:sz w:val="20"/>
          <w:szCs w:val="20"/>
          <w:highlight w:val="none"/>
          <w:lang w:val="en-US" w:eastAsia="zh-CN"/>
        </w:rPr>
        <w:fldChar w:fldCharType="separate"/>
      </w:r>
      <w:r>
        <w:rPr>
          <w:rFonts w:hint="eastAsia"/>
          <w:color w:val="auto"/>
          <w:sz w:val="20"/>
          <w:szCs w:val="20"/>
          <w:highlight w:val="none"/>
          <w:lang w:val="en-US" w:eastAsia="zh-CN"/>
        </w:rPr>
        <w:t>www.ccgp.gov.cn</w:t>
      </w:r>
      <w:r>
        <w:rPr>
          <w:rFonts w:hint="eastAsia"/>
          <w:color w:val="auto"/>
          <w:sz w:val="20"/>
          <w:szCs w:val="20"/>
          <w:highlight w:val="none"/>
          <w:lang w:val="en-US" w:eastAsia="zh-CN"/>
        </w:rPr>
        <w:fldChar w:fldCharType="end"/>
      </w:r>
      <w:r>
        <w:rPr>
          <w:rFonts w:hint="eastAsia"/>
          <w:color w:val="auto"/>
          <w:sz w:val="20"/>
          <w:szCs w:val="20"/>
          <w:highlight w:val="none"/>
          <w:lang w:val="en-US" w:eastAsia="zh-CN"/>
        </w:rPr>
        <w:t>）进行查询；</w:t>
      </w:r>
    </w:p>
    <w:p w14:paraId="590F274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（2）查询截止时点：提交响应文件截止日当天；</w:t>
      </w:r>
    </w:p>
    <w:p w14:paraId="30E2D88C">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（3）查询记录：对列入失信被执行人、税收违法黑名单、政府采购严重违法失信行为记录名单、信用报告进行查询；</w:t>
      </w:r>
    </w:p>
    <w:p w14:paraId="37981733">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14:paraId="606BA37E">
      <w:pPr>
        <w:pStyle w:val="8"/>
        <w:keepNext w:val="0"/>
        <w:keepLines w:val="0"/>
        <w:pageBreakBefore w:val="0"/>
        <w:widowControl w:val="0"/>
        <w:kinsoku/>
        <w:wordWrap/>
        <w:overflowPunct/>
        <w:topLinePunct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8.按照磋商文件要求，供应商应当提交的资格、资信证明文件。</w:t>
      </w:r>
    </w:p>
    <w:p w14:paraId="38E8AF67">
      <w:pPr>
        <w:jc w:val="center"/>
        <w:outlineLvl w:val="1"/>
        <w:rPr>
          <w:rFonts w:hint="eastAsia"/>
          <w:b/>
          <w:bCs/>
          <w:color w:val="auto"/>
          <w:highlight w:val="none"/>
          <w:lang w:val="en-US" w:eastAsia="zh-CN"/>
        </w:rPr>
      </w:pPr>
      <w:bookmarkStart w:id="231" w:name="_Toc712"/>
      <w:bookmarkStart w:id="232" w:name="_Toc23380"/>
      <w:bookmarkStart w:id="233" w:name="_Toc32213"/>
      <w:bookmarkStart w:id="234" w:name="_Toc7065"/>
      <w:r>
        <w:rPr>
          <w:rFonts w:hint="eastAsia"/>
          <w:b/>
          <w:bCs/>
          <w:color w:val="auto"/>
          <w:highlight w:val="none"/>
          <w:lang w:val="en-US" w:eastAsia="zh-CN"/>
        </w:rPr>
        <w:t>（封面格式仅供参考）</w:t>
      </w:r>
      <w:bookmarkEnd w:id="231"/>
      <w:bookmarkEnd w:id="232"/>
      <w:bookmarkEnd w:id="233"/>
      <w:bookmarkEnd w:id="234"/>
    </w:p>
    <w:p w14:paraId="5831BF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122CFC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529AA2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50BA06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5A4B5529">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235" w:name="_Toc26688"/>
      <w:bookmarkStart w:id="236" w:name="_Toc4650"/>
      <w:bookmarkStart w:id="237" w:name="_Toc24171"/>
      <w:bookmarkStart w:id="238" w:name="_Toc14748"/>
      <w:r>
        <w:rPr>
          <w:rFonts w:hint="eastAsia" w:ascii="宋体" w:hAnsi="宋体" w:cs="宋体"/>
          <w:b/>
          <w:bCs w:val="0"/>
          <w:color w:val="auto"/>
          <w:spacing w:val="10"/>
          <w:kern w:val="0"/>
          <w:sz w:val="38"/>
          <w:szCs w:val="38"/>
          <w:highlight w:val="none"/>
          <w:lang w:val="zh-CN" w:bidi="zh-CN"/>
        </w:rPr>
        <w:t>响应文件</w:t>
      </w:r>
      <w:r>
        <w:rPr>
          <w:rFonts w:ascii="宋体" w:hAnsi="宋体" w:cs="宋体"/>
          <w:b/>
          <w:bCs w:val="0"/>
          <w:color w:val="auto"/>
          <w:spacing w:val="10"/>
          <w:kern w:val="0"/>
          <w:sz w:val="38"/>
          <w:szCs w:val="38"/>
          <w:highlight w:val="none"/>
          <w:lang w:val="zh-CN" w:bidi="zh-CN"/>
        </w:rPr>
        <w:t>封面</w:t>
      </w:r>
      <w:bookmarkEnd w:id="235"/>
      <w:bookmarkEnd w:id="236"/>
      <w:bookmarkEnd w:id="237"/>
      <w:bookmarkEnd w:id="238"/>
    </w:p>
    <w:p w14:paraId="758B8559">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14:paraId="4B054D0C">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39" w:name="_Toc25136"/>
      <w:bookmarkStart w:id="240" w:name="_Toc302"/>
      <w:bookmarkStart w:id="241" w:name="_Toc6353"/>
      <w:bookmarkStart w:id="242"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39"/>
      <w:bookmarkEnd w:id="240"/>
      <w:bookmarkEnd w:id="241"/>
      <w:bookmarkEnd w:id="242"/>
    </w:p>
    <w:p w14:paraId="55E36428">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（正本</w:t>
      </w:r>
      <w:r>
        <w:rPr>
          <w:rFonts w:hint="eastAsia" w:ascii="思源黑体 CN Heavy" w:hAnsi="宋体" w:eastAsia="思源黑体 CN Heavy" w:cs="宋体"/>
          <w:b/>
          <w:bCs/>
          <w:color w:val="auto"/>
          <w:sz w:val="24"/>
          <w:szCs w:val="24"/>
          <w:highlight w:val="none"/>
          <w:lang w:val="zh-CN" w:eastAsia="zh-CN" w:bidi="zh-CN"/>
        </w:rPr>
        <w:t>/</w:t>
      </w:r>
      <w:r>
        <w:rPr>
          <w:rFonts w:ascii="宋体" w:hAnsi="宋体" w:eastAsia="宋体" w:cs="宋体"/>
          <w:b/>
          <w:bCs/>
          <w:color w:val="auto"/>
          <w:sz w:val="24"/>
          <w:szCs w:val="24"/>
          <w:highlight w:val="none"/>
          <w:lang w:val="zh-CN" w:eastAsia="zh-CN" w:bidi="zh-CN"/>
        </w:rPr>
        <w:t>副本）</w:t>
      </w:r>
    </w:p>
    <w:p w14:paraId="7E4570C8">
      <w:pPr>
        <w:widowControl w:val="0"/>
        <w:autoSpaceDE w:val="0"/>
        <w:autoSpaceDN w:val="0"/>
        <w:jc w:val="center"/>
        <w:rPr>
          <w:rFonts w:ascii="宋体" w:hAnsi="宋体" w:eastAsia="宋体" w:cs="宋体"/>
          <w:b/>
          <w:color w:val="auto"/>
          <w:sz w:val="28"/>
          <w:szCs w:val="19"/>
          <w:highlight w:val="none"/>
          <w:lang w:val="zh-CN" w:eastAsia="zh-CN" w:bidi="zh-CN"/>
        </w:rPr>
      </w:pPr>
    </w:p>
    <w:p w14:paraId="6C118F81">
      <w:pPr>
        <w:widowControl w:val="0"/>
        <w:autoSpaceDE w:val="0"/>
        <w:autoSpaceDN w:val="0"/>
        <w:jc w:val="center"/>
        <w:rPr>
          <w:rFonts w:ascii="宋体" w:hAnsi="宋体" w:eastAsia="宋体" w:cs="宋体"/>
          <w:b/>
          <w:color w:val="auto"/>
          <w:sz w:val="28"/>
          <w:szCs w:val="19"/>
          <w:highlight w:val="none"/>
          <w:lang w:val="zh-CN" w:eastAsia="zh-CN" w:bidi="zh-CN"/>
        </w:rPr>
      </w:pPr>
    </w:p>
    <w:p w14:paraId="47B42486">
      <w:pPr>
        <w:widowControl w:val="0"/>
        <w:autoSpaceDE w:val="0"/>
        <w:autoSpaceDN w:val="0"/>
        <w:jc w:val="center"/>
        <w:rPr>
          <w:rFonts w:ascii="宋体" w:hAnsi="宋体" w:eastAsia="宋体" w:cs="宋体"/>
          <w:b/>
          <w:color w:val="auto"/>
          <w:sz w:val="28"/>
          <w:szCs w:val="19"/>
          <w:highlight w:val="none"/>
          <w:lang w:val="zh-CN" w:eastAsia="zh-CN" w:bidi="zh-CN"/>
        </w:rPr>
      </w:pPr>
    </w:p>
    <w:p w14:paraId="4B22951E">
      <w:pPr>
        <w:widowControl w:val="0"/>
        <w:autoSpaceDE w:val="0"/>
        <w:autoSpaceDN w:val="0"/>
        <w:jc w:val="center"/>
        <w:rPr>
          <w:rFonts w:ascii="宋体" w:hAnsi="宋体" w:eastAsia="宋体" w:cs="宋体"/>
          <w:b/>
          <w:color w:val="auto"/>
          <w:sz w:val="28"/>
          <w:szCs w:val="19"/>
          <w:highlight w:val="none"/>
          <w:lang w:val="zh-CN" w:eastAsia="zh-CN" w:bidi="zh-CN"/>
        </w:rPr>
      </w:pPr>
    </w:p>
    <w:p w14:paraId="0C7E85B3">
      <w:pPr>
        <w:widowControl w:val="0"/>
        <w:autoSpaceDE w:val="0"/>
        <w:autoSpaceDN w:val="0"/>
        <w:jc w:val="center"/>
        <w:rPr>
          <w:rFonts w:ascii="宋体" w:hAnsi="宋体" w:eastAsia="宋体" w:cs="宋体"/>
          <w:b/>
          <w:color w:val="auto"/>
          <w:sz w:val="28"/>
          <w:szCs w:val="19"/>
          <w:highlight w:val="none"/>
          <w:lang w:val="zh-CN" w:eastAsia="zh-CN" w:bidi="zh-CN"/>
        </w:rPr>
      </w:pPr>
    </w:p>
    <w:p w14:paraId="417B95EF">
      <w:pPr>
        <w:widowControl w:val="0"/>
        <w:autoSpaceDE w:val="0"/>
        <w:autoSpaceDN w:val="0"/>
        <w:jc w:val="center"/>
        <w:rPr>
          <w:rFonts w:ascii="宋体" w:hAnsi="宋体" w:eastAsia="宋体" w:cs="宋体"/>
          <w:b/>
          <w:color w:val="auto"/>
          <w:sz w:val="28"/>
          <w:szCs w:val="19"/>
          <w:highlight w:val="none"/>
          <w:lang w:val="zh-CN" w:eastAsia="zh-CN" w:bidi="zh-CN"/>
        </w:rPr>
      </w:pPr>
    </w:p>
    <w:p w14:paraId="3D58D687">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14:paraId="0FF52787">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3EA48E37">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7502AB51">
      <w:pPr>
        <w:widowControl w:val="0"/>
        <w:autoSpaceDE w:val="0"/>
        <w:autoSpaceDN w:val="0"/>
        <w:jc w:val="center"/>
        <w:rPr>
          <w:rFonts w:ascii="宋体" w:hAnsi="宋体" w:eastAsia="宋体" w:cs="宋体"/>
          <w:b/>
          <w:color w:val="auto"/>
          <w:sz w:val="24"/>
          <w:szCs w:val="19"/>
          <w:highlight w:val="none"/>
          <w:lang w:val="zh-CN" w:eastAsia="zh-CN" w:bidi="zh-CN"/>
        </w:rPr>
      </w:pPr>
    </w:p>
    <w:p w14:paraId="051C12D6">
      <w:pPr>
        <w:widowControl w:val="0"/>
        <w:autoSpaceDE w:val="0"/>
        <w:autoSpaceDN w:val="0"/>
        <w:jc w:val="center"/>
        <w:rPr>
          <w:rFonts w:ascii="宋体" w:hAnsi="宋体" w:eastAsia="宋体" w:cs="宋体"/>
          <w:b/>
          <w:color w:val="auto"/>
          <w:sz w:val="24"/>
          <w:szCs w:val="19"/>
          <w:highlight w:val="none"/>
          <w:lang w:val="zh-CN" w:eastAsia="zh-CN" w:bidi="zh-CN"/>
        </w:rPr>
      </w:pPr>
    </w:p>
    <w:p w14:paraId="720D33B9">
      <w:pPr>
        <w:widowControl w:val="0"/>
        <w:autoSpaceDE w:val="0"/>
        <w:autoSpaceDN w:val="0"/>
        <w:jc w:val="center"/>
        <w:rPr>
          <w:rFonts w:ascii="宋体" w:hAnsi="宋体" w:eastAsia="宋体" w:cs="宋体"/>
          <w:b/>
          <w:color w:val="auto"/>
          <w:sz w:val="24"/>
          <w:szCs w:val="19"/>
          <w:highlight w:val="none"/>
          <w:lang w:val="zh-CN" w:eastAsia="zh-CN" w:bidi="zh-CN"/>
        </w:rPr>
      </w:pPr>
    </w:p>
    <w:p w14:paraId="23902F90">
      <w:pPr>
        <w:widowControl w:val="0"/>
        <w:autoSpaceDE w:val="0"/>
        <w:autoSpaceDN w:val="0"/>
        <w:jc w:val="center"/>
        <w:rPr>
          <w:rFonts w:ascii="宋体" w:hAnsi="宋体" w:eastAsia="宋体" w:cs="宋体"/>
          <w:b/>
          <w:color w:val="auto"/>
          <w:sz w:val="24"/>
          <w:szCs w:val="19"/>
          <w:highlight w:val="none"/>
          <w:lang w:val="zh-CN" w:eastAsia="zh-CN" w:bidi="zh-CN"/>
        </w:rPr>
      </w:pPr>
    </w:p>
    <w:p w14:paraId="5F1E1C13">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4B3A0896">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14:paraId="24DBAE1C">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32A14293">
      <w:pPr>
        <w:spacing w:before="312" w:beforeLines="100" w:after="312" w:afterLines="100"/>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详细评审索引表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35AE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34EAE080">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项目名称：</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     项目编号：</w:t>
            </w:r>
            <w:r>
              <w:rPr>
                <w:rFonts w:hint="eastAsia" w:ascii="宋体" w:hAnsi="宋体" w:eastAsia="宋体" w:cs="宋体"/>
                <w:b w:val="0"/>
                <w:bCs w:val="0"/>
                <w:color w:val="auto"/>
                <w:szCs w:val="21"/>
                <w:highlight w:val="none"/>
                <w:u w:val="single"/>
              </w:rPr>
              <w:t xml:space="preserve">                     </w:t>
            </w:r>
          </w:p>
        </w:tc>
      </w:tr>
      <w:tr w14:paraId="040D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3F869B4F">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商务评审细则</w:t>
            </w:r>
          </w:p>
        </w:tc>
      </w:tr>
      <w:tr w14:paraId="2A13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5BC0D9B">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14:paraId="511428DA">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14:paraId="7362CB6C">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14:paraId="5691903E">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14:paraId="259D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7BC043C">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4BC0FA1F">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48DBB1BE">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1A97263A">
            <w:pPr>
              <w:spacing w:line="360" w:lineRule="auto"/>
              <w:jc w:val="center"/>
              <w:rPr>
                <w:rFonts w:hint="eastAsia" w:ascii="宋体" w:hAnsi="宋体" w:eastAsia="宋体" w:cs="宋体"/>
                <w:b w:val="0"/>
                <w:bCs w:val="0"/>
                <w:color w:val="auto"/>
                <w:szCs w:val="21"/>
                <w:highlight w:val="none"/>
              </w:rPr>
            </w:pPr>
          </w:p>
        </w:tc>
      </w:tr>
      <w:tr w14:paraId="0955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419C50C4">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60D113BD">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5A93D80F">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687B086F">
            <w:pPr>
              <w:spacing w:line="360" w:lineRule="auto"/>
              <w:jc w:val="center"/>
              <w:rPr>
                <w:rFonts w:hint="eastAsia" w:ascii="宋体" w:hAnsi="宋体" w:eastAsia="宋体" w:cs="宋体"/>
                <w:b w:val="0"/>
                <w:bCs w:val="0"/>
                <w:color w:val="auto"/>
                <w:szCs w:val="21"/>
                <w:highlight w:val="none"/>
              </w:rPr>
            </w:pPr>
          </w:p>
        </w:tc>
      </w:tr>
      <w:tr w14:paraId="0F39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C292DB6">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04B6D48A">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66D700B1">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775F9F32">
            <w:pPr>
              <w:spacing w:line="360" w:lineRule="auto"/>
              <w:jc w:val="center"/>
              <w:rPr>
                <w:rFonts w:hint="eastAsia" w:ascii="宋体" w:hAnsi="宋体" w:eastAsia="宋体" w:cs="宋体"/>
                <w:b w:val="0"/>
                <w:bCs w:val="0"/>
                <w:color w:val="auto"/>
                <w:szCs w:val="21"/>
                <w:highlight w:val="none"/>
              </w:rPr>
            </w:pPr>
          </w:p>
        </w:tc>
      </w:tr>
      <w:tr w14:paraId="1EC5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0C496CA">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538D5962">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26FB7A3E">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1A5BD58F">
            <w:pPr>
              <w:spacing w:line="360" w:lineRule="auto"/>
              <w:jc w:val="center"/>
              <w:rPr>
                <w:rFonts w:hint="eastAsia" w:ascii="宋体" w:hAnsi="宋体" w:eastAsia="宋体" w:cs="宋体"/>
                <w:b w:val="0"/>
                <w:bCs w:val="0"/>
                <w:color w:val="auto"/>
                <w:szCs w:val="21"/>
                <w:highlight w:val="none"/>
              </w:rPr>
            </w:pPr>
          </w:p>
        </w:tc>
      </w:tr>
      <w:tr w14:paraId="0EAE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3451F09E">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技术评审细则</w:t>
            </w:r>
          </w:p>
        </w:tc>
      </w:tr>
      <w:tr w14:paraId="3100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8351305">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14:paraId="2DFE0799">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14:paraId="31560B82">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14:paraId="07DA5F1A">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14:paraId="6D81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E9905DA">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30073015">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484B230D">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5264E658">
            <w:pPr>
              <w:spacing w:line="360" w:lineRule="auto"/>
              <w:jc w:val="center"/>
              <w:rPr>
                <w:rFonts w:hint="eastAsia" w:ascii="宋体" w:hAnsi="宋体" w:eastAsia="宋体" w:cs="宋体"/>
                <w:b w:val="0"/>
                <w:bCs w:val="0"/>
                <w:color w:val="auto"/>
                <w:szCs w:val="21"/>
                <w:highlight w:val="none"/>
              </w:rPr>
            </w:pPr>
          </w:p>
        </w:tc>
      </w:tr>
      <w:tr w14:paraId="42F0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6AC4F48">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4218B838">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2BE975EF">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6871B28B">
            <w:pPr>
              <w:spacing w:line="360" w:lineRule="auto"/>
              <w:jc w:val="center"/>
              <w:rPr>
                <w:rFonts w:hint="eastAsia" w:ascii="宋体" w:hAnsi="宋体" w:eastAsia="宋体" w:cs="宋体"/>
                <w:b w:val="0"/>
                <w:bCs w:val="0"/>
                <w:color w:val="auto"/>
                <w:szCs w:val="21"/>
                <w:highlight w:val="none"/>
              </w:rPr>
            </w:pPr>
          </w:p>
        </w:tc>
      </w:tr>
      <w:tr w14:paraId="7DEB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642F992">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36960552">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1592ADDE">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2DFC7372">
            <w:pPr>
              <w:spacing w:line="360" w:lineRule="auto"/>
              <w:jc w:val="center"/>
              <w:rPr>
                <w:rFonts w:hint="eastAsia" w:ascii="宋体" w:hAnsi="宋体" w:eastAsia="宋体" w:cs="宋体"/>
                <w:b w:val="0"/>
                <w:bCs w:val="0"/>
                <w:color w:val="auto"/>
                <w:szCs w:val="21"/>
                <w:highlight w:val="none"/>
              </w:rPr>
            </w:pPr>
          </w:p>
        </w:tc>
      </w:tr>
      <w:tr w14:paraId="6AFC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5CE9F6C">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141D8AC9">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34C542A1">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138E9B00">
            <w:pPr>
              <w:spacing w:line="360" w:lineRule="auto"/>
              <w:jc w:val="center"/>
              <w:rPr>
                <w:rFonts w:hint="eastAsia" w:ascii="宋体" w:hAnsi="宋体" w:eastAsia="宋体" w:cs="宋体"/>
                <w:b w:val="0"/>
                <w:bCs w:val="0"/>
                <w:color w:val="auto"/>
                <w:szCs w:val="21"/>
                <w:highlight w:val="none"/>
              </w:rPr>
            </w:pPr>
          </w:p>
        </w:tc>
      </w:tr>
      <w:tr w14:paraId="21E3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554EBFE">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7602EE7B">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0B715C01">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5DBB398B">
            <w:pPr>
              <w:spacing w:line="360" w:lineRule="auto"/>
              <w:jc w:val="center"/>
              <w:rPr>
                <w:rFonts w:hint="eastAsia" w:ascii="宋体" w:hAnsi="宋体" w:eastAsia="宋体" w:cs="宋体"/>
                <w:b w:val="0"/>
                <w:bCs w:val="0"/>
                <w:color w:val="auto"/>
                <w:szCs w:val="21"/>
                <w:highlight w:val="none"/>
              </w:rPr>
            </w:pPr>
          </w:p>
        </w:tc>
      </w:tr>
      <w:tr w14:paraId="62D5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35441C9">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53A2DD11">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0AE11D29">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0058977B">
            <w:pPr>
              <w:spacing w:line="360" w:lineRule="auto"/>
              <w:jc w:val="center"/>
              <w:rPr>
                <w:rFonts w:hint="eastAsia" w:ascii="宋体" w:hAnsi="宋体" w:eastAsia="宋体" w:cs="宋体"/>
                <w:b w:val="0"/>
                <w:bCs w:val="0"/>
                <w:color w:val="auto"/>
                <w:szCs w:val="21"/>
                <w:highlight w:val="none"/>
              </w:rPr>
            </w:pPr>
          </w:p>
        </w:tc>
      </w:tr>
    </w:tbl>
    <w:p w14:paraId="0E596D41">
      <w:pPr>
        <w:rPr>
          <w:b/>
          <w:color w:val="auto"/>
          <w:sz w:val="24"/>
          <w:highlight w:val="none"/>
        </w:rPr>
      </w:pPr>
      <w:r>
        <w:rPr>
          <w:b/>
          <w:color w:val="auto"/>
          <w:sz w:val="24"/>
          <w:highlight w:val="none"/>
        </w:rPr>
        <w:br w:type="page"/>
      </w:r>
    </w:p>
    <w:p w14:paraId="4206DD0B">
      <w:pPr>
        <w:spacing w:before="46"/>
        <w:ind w:left="3125" w:right="3192"/>
        <w:jc w:val="center"/>
        <w:rPr>
          <w:b/>
          <w:color w:val="auto"/>
          <w:sz w:val="24"/>
          <w:highlight w:val="none"/>
        </w:rPr>
      </w:pPr>
      <w:r>
        <w:rPr>
          <w:rFonts w:hint="eastAsia"/>
          <w:b/>
          <w:color w:val="auto"/>
          <w:sz w:val="24"/>
          <w:highlight w:val="none"/>
          <w:lang w:eastAsia="zh-CN"/>
        </w:rPr>
        <w:t>响应文件</w:t>
      </w:r>
      <w:r>
        <w:rPr>
          <w:b/>
          <w:color w:val="auto"/>
          <w:sz w:val="24"/>
          <w:highlight w:val="none"/>
        </w:rPr>
        <w:t>目录</w:t>
      </w:r>
    </w:p>
    <w:p w14:paraId="3279093E">
      <w:pPr>
        <w:pStyle w:val="8"/>
        <w:spacing w:before="8"/>
        <w:rPr>
          <w:b/>
          <w:color w:val="auto"/>
          <w:sz w:val="12"/>
          <w:highlight w:val="none"/>
        </w:rPr>
      </w:pPr>
    </w:p>
    <w:p w14:paraId="33ACFE0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一、</w:t>
      </w:r>
      <w:r>
        <w:rPr>
          <w:rFonts w:hint="eastAsia"/>
          <w:color w:val="auto"/>
          <w:highlight w:val="none"/>
          <w:lang w:val="en-US" w:eastAsia="zh-CN"/>
        </w:rPr>
        <w:t>响应承诺</w:t>
      </w:r>
      <w:r>
        <w:rPr>
          <w:color w:val="auto"/>
          <w:highlight w:val="none"/>
        </w:rPr>
        <w:t>函</w:t>
      </w:r>
    </w:p>
    <w:p w14:paraId="7B2CD2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二、</w:t>
      </w:r>
      <w:r>
        <w:rPr>
          <w:rFonts w:hint="eastAsia"/>
          <w:color w:val="auto"/>
          <w:highlight w:val="none"/>
          <w:lang w:eastAsia="zh-CN"/>
        </w:rPr>
        <w:t>首轮报价表</w:t>
      </w:r>
    </w:p>
    <w:p w14:paraId="23DDFB2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三、分项报价表</w:t>
      </w:r>
    </w:p>
    <w:p w14:paraId="585077A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2EC43EB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五、</w:t>
      </w:r>
      <w:r>
        <w:rPr>
          <w:rFonts w:hint="eastAsia"/>
          <w:color w:val="auto"/>
          <w:highlight w:val="none"/>
        </w:rPr>
        <w:t>法定代表人授权书</w:t>
      </w:r>
    </w:p>
    <w:p w14:paraId="64E549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六、</w:t>
      </w:r>
      <w:r>
        <w:rPr>
          <w:rFonts w:hint="eastAsia"/>
          <w:color w:val="auto"/>
          <w:highlight w:val="none"/>
          <w:lang w:eastAsia="zh-CN"/>
        </w:rPr>
        <w:t>响应保证金</w:t>
      </w:r>
    </w:p>
    <w:p w14:paraId="708E959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七、</w:t>
      </w:r>
      <w:r>
        <w:rPr>
          <w:rFonts w:hint="eastAsia"/>
          <w:color w:val="auto"/>
          <w:highlight w:val="none"/>
        </w:rPr>
        <w:t>提供具有独立承担民事责任的能力的证明材料</w:t>
      </w:r>
    </w:p>
    <w:p w14:paraId="0784FBA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八、</w:t>
      </w:r>
      <w:r>
        <w:rPr>
          <w:rFonts w:hint="eastAsia"/>
          <w:color w:val="auto"/>
          <w:highlight w:val="none"/>
        </w:rPr>
        <w:t>资格性审查要求的其他资质证明文件</w:t>
      </w:r>
    </w:p>
    <w:p w14:paraId="13924A6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九、</w:t>
      </w:r>
      <w:r>
        <w:rPr>
          <w:rFonts w:hint="eastAsia"/>
          <w:color w:val="auto"/>
          <w:highlight w:val="none"/>
        </w:rPr>
        <w:t>在经营活动中没有重大违法记录的书面声明</w:t>
      </w:r>
    </w:p>
    <w:p w14:paraId="528E1BC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eastAsia="zh-CN"/>
        </w:rPr>
        <w:t>供应商</w:t>
      </w:r>
      <w:r>
        <w:rPr>
          <w:rFonts w:hint="eastAsia"/>
          <w:color w:val="auto"/>
          <w:highlight w:val="none"/>
        </w:rPr>
        <w:t>业绩情况表</w:t>
      </w:r>
    </w:p>
    <w:p w14:paraId="6EC5F87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十一、</w:t>
      </w:r>
      <w:r>
        <w:rPr>
          <w:rFonts w:hint="eastAsia"/>
          <w:color w:val="auto"/>
          <w:highlight w:val="none"/>
        </w:rPr>
        <w:t>技术要求响应表</w:t>
      </w:r>
    </w:p>
    <w:p w14:paraId="0667A04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十二、</w:t>
      </w:r>
      <w:r>
        <w:rPr>
          <w:rFonts w:hint="eastAsia"/>
          <w:color w:val="auto"/>
          <w:highlight w:val="none"/>
        </w:rPr>
        <w:t>商务要求响应表</w:t>
      </w:r>
    </w:p>
    <w:p w14:paraId="4AD70D6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十三、</w:t>
      </w:r>
      <w:r>
        <w:rPr>
          <w:rFonts w:hint="eastAsia"/>
          <w:color w:val="auto"/>
          <w:highlight w:val="none"/>
        </w:rPr>
        <w:t>履约进度计划表</w:t>
      </w:r>
    </w:p>
    <w:p w14:paraId="7294165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十四、</w:t>
      </w:r>
      <w:r>
        <w:rPr>
          <w:rFonts w:hint="eastAsia"/>
          <w:color w:val="auto"/>
          <w:highlight w:val="none"/>
        </w:rPr>
        <w:t>各类证明材料</w:t>
      </w:r>
    </w:p>
    <w:p w14:paraId="1FD8345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十五、</w:t>
      </w:r>
      <w:r>
        <w:rPr>
          <w:rFonts w:hint="eastAsia"/>
          <w:color w:val="auto"/>
          <w:highlight w:val="none"/>
        </w:rPr>
        <w:t>采购代理服务费支付承诺书</w:t>
      </w:r>
    </w:p>
    <w:p w14:paraId="7F65AA3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14:paraId="215F2CA4">
      <w:pPr>
        <w:rPr>
          <w:b/>
          <w:bCs/>
          <w:color w:val="auto"/>
          <w:sz w:val="24"/>
          <w:szCs w:val="32"/>
          <w:highlight w:val="none"/>
        </w:rPr>
      </w:pPr>
      <w:r>
        <w:rPr>
          <w:b/>
          <w:bCs/>
          <w:color w:val="auto"/>
          <w:sz w:val="24"/>
          <w:szCs w:val="32"/>
          <w:highlight w:val="none"/>
        </w:rPr>
        <w:br w:type="page"/>
      </w:r>
    </w:p>
    <w:p w14:paraId="30B98F63">
      <w:pPr>
        <w:bidi w:val="0"/>
        <w:rPr>
          <w:b/>
          <w:bCs/>
          <w:color w:val="auto"/>
          <w:sz w:val="24"/>
          <w:szCs w:val="32"/>
          <w:highlight w:val="none"/>
        </w:rPr>
      </w:pPr>
      <w:r>
        <w:rPr>
          <w:b/>
          <w:bCs/>
          <w:color w:val="auto"/>
          <w:sz w:val="24"/>
          <w:szCs w:val="32"/>
          <w:highlight w:val="none"/>
        </w:rPr>
        <w:t>格式一：</w:t>
      </w:r>
    </w:p>
    <w:p w14:paraId="4BE397BC">
      <w:pPr>
        <w:pStyle w:val="8"/>
        <w:jc w:val="center"/>
        <w:rPr>
          <w:b/>
          <w:color w:val="auto"/>
          <w:sz w:val="12"/>
          <w:highlight w:val="none"/>
        </w:rPr>
      </w:pPr>
      <w:r>
        <w:rPr>
          <w:rFonts w:hint="eastAsia"/>
          <w:b/>
          <w:color w:val="auto"/>
          <w:sz w:val="24"/>
          <w:highlight w:val="none"/>
          <w:lang w:val="en-US" w:eastAsia="zh-CN"/>
        </w:rPr>
        <w:t>响应承诺</w:t>
      </w:r>
      <w:r>
        <w:rPr>
          <w:b/>
          <w:color w:val="auto"/>
          <w:sz w:val="24"/>
          <w:highlight w:val="none"/>
        </w:rPr>
        <w:t>函</w:t>
      </w:r>
    </w:p>
    <w:p w14:paraId="0F03899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14:paraId="2E75476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竞争性磋商</w:t>
      </w:r>
      <w:r>
        <w:rPr>
          <w:rFonts w:hint="eastAsia" w:ascii="宋体" w:hAnsi="宋体" w:eastAsia="宋体" w:cs="宋体"/>
          <w:color w:val="auto"/>
          <w:sz w:val="21"/>
          <w:szCs w:val="21"/>
          <w:highlight w:val="none"/>
        </w:rPr>
        <w:t>[项目编号为：</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]，我方愿参与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14:paraId="08BDBAE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磋商</w:t>
      </w:r>
      <w:r>
        <w:rPr>
          <w:rFonts w:hint="eastAsia" w:cs="宋体"/>
          <w:color w:val="auto"/>
          <w:sz w:val="21"/>
          <w:szCs w:val="21"/>
          <w:highlight w:val="none"/>
          <w:lang w:eastAsia="zh-CN"/>
        </w:rPr>
        <w:t>文件</w:t>
      </w:r>
      <w:r>
        <w:rPr>
          <w:rFonts w:hint="eastAsia" w:ascii="宋体" w:hAnsi="宋体" w:eastAsia="宋体" w:cs="宋体"/>
          <w:color w:val="auto"/>
          <w:sz w:val="21"/>
          <w:szCs w:val="21"/>
          <w:highlight w:val="none"/>
        </w:rPr>
        <w:t>的全部内容。</w:t>
      </w:r>
    </w:p>
    <w:p w14:paraId="282542D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前已详细研究了</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的所有内容，包括澄清、修改文件（如果有）和所有已提供的参考资料以及有关附件，我方完全明白并认为此</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没有倾向性，也不存在排斥潜在</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的相关条款，放弃对</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提出误解和质疑的一切权力。</w:t>
      </w:r>
    </w:p>
    <w:p w14:paraId="59CF1543">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作为</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(授权代表全名,职务)</w:t>
      </w:r>
      <w:r>
        <w:rPr>
          <w:rFonts w:hint="eastAsia" w:ascii="宋体" w:hAnsi="宋体" w:eastAsia="宋体" w:cs="宋体"/>
          <w:color w:val="auto"/>
          <w:sz w:val="21"/>
          <w:szCs w:val="21"/>
          <w:highlight w:val="none"/>
        </w:rPr>
        <w:t>代表我方全权处理有关本</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的一切事宜。我方已完全明白</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的所有条款要求，并申明如下：</w:t>
      </w:r>
    </w:p>
    <w:p w14:paraId="1F80E52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提供的全部货物与相关服务的</w:t>
      </w:r>
      <w:r>
        <w:rPr>
          <w:rFonts w:hint="eastAsia" w:cs="宋体"/>
          <w:color w:val="auto"/>
          <w:sz w:val="21"/>
          <w:szCs w:val="21"/>
          <w:highlight w:val="none"/>
          <w:lang w:eastAsia="zh-CN"/>
        </w:rPr>
        <w:t>磋商总价</w:t>
      </w:r>
      <w:r>
        <w:rPr>
          <w:rFonts w:hint="eastAsia" w:ascii="宋体" w:hAnsi="宋体" w:eastAsia="宋体" w:cs="宋体"/>
          <w:color w:val="auto"/>
          <w:sz w:val="21"/>
          <w:szCs w:val="21"/>
          <w:highlight w:val="none"/>
        </w:rPr>
        <w:t>详见《</w:t>
      </w:r>
      <w:r>
        <w:rPr>
          <w:rFonts w:hint="eastAsia" w:cs="宋体"/>
          <w:color w:val="auto"/>
          <w:sz w:val="21"/>
          <w:szCs w:val="21"/>
          <w:highlight w:val="none"/>
          <w:lang w:eastAsia="zh-CN"/>
        </w:rPr>
        <w:t>首轮报价表</w:t>
      </w:r>
      <w:r>
        <w:rPr>
          <w:rFonts w:hint="eastAsia" w:ascii="宋体" w:hAnsi="宋体" w:eastAsia="宋体" w:cs="宋体"/>
          <w:color w:val="auto"/>
          <w:sz w:val="21"/>
          <w:szCs w:val="21"/>
          <w:highlight w:val="none"/>
        </w:rPr>
        <w:t>》。</w:t>
      </w:r>
    </w:p>
    <w:p w14:paraId="111F83F0">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的有效期为</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截止时间起90天。如中标，有效期将延至合同终止日为止。在此提交的资格证明文件均至</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截止日有效，如有在</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内失效的，我方承诺在中标后补齐一切手续，保证所有资格证明文件能在签订采购合同时直至采购合同终止日有效。</w:t>
      </w:r>
    </w:p>
    <w:p w14:paraId="4CBEC16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之内撤回</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或中标后不按规定与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签订合同或不提交履约保证金</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则贵方将不予退还</w:t>
      </w:r>
      <w:r>
        <w:rPr>
          <w:rFonts w:hint="eastAsia"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14:paraId="6B9D57C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14:paraId="4978BC03">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价或任何贵方可能收到的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w:t>
      </w:r>
    </w:p>
    <w:p w14:paraId="53D43D98">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及其澄清、修改文件（如果有）中的全部责任和义务，按质、按量、按期完成《用户需求书》及合同中的全部任务。</w:t>
      </w:r>
    </w:p>
    <w:p w14:paraId="4CE9EB45">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，在此保证所提交的所有文件和全部说明是真实的和正确的。</w:t>
      </w:r>
    </w:p>
    <w:p w14:paraId="758574F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报价已包含应向知识产权所有权人支付的所有相关税费，并保证</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在中国使用我方提供的货物时，如有第三方提出侵犯其知识产权主张的，责任由我方承担。</w:t>
      </w:r>
    </w:p>
    <w:p w14:paraId="295CFC9F">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委托向贵方支付代理服务费，项目总报价已包含代理服务费，如果被确定为中标供应商，承诺向贵方足额支付。（若</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支付代理服务费，则此条不适用）</w:t>
      </w:r>
    </w:p>
    <w:p w14:paraId="439A86C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（十）我方与其他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不存在单位负责人为同一人或者存在直接控股、管理关系。</w:t>
      </w:r>
    </w:p>
    <w:p w14:paraId="2C3D386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（十一）我方承诺未为本项目提供整体设计、规范编制或者项目管理、监理、检测等服务。</w:t>
      </w:r>
    </w:p>
    <w:p w14:paraId="549F0B9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（十二）我方未被列入法院失信被执行人名单中。</w:t>
      </w:r>
    </w:p>
    <w:p w14:paraId="46B80C2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（十三）我方具备《中华人民共和国政府采购法》第二十二条规定的条件，承诺如下：</w:t>
      </w:r>
    </w:p>
    <w:p w14:paraId="2552055E">
      <w:pPr>
        <w:pStyle w:val="23"/>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我方参加本项目政府采购活动前</w:t>
      </w:r>
      <w:r>
        <w:rPr>
          <w:rFonts w:hint="eastAsia" w:ascii="宋体" w:hAnsi="宋体" w:eastAsia="宋体" w:cs="宋体"/>
          <w:color w:val="auto"/>
          <w:spacing w:val="-3"/>
          <w:w w:val="110"/>
          <w:sz w:val="21"/>
          <w:szCs w:val="21"/>
          <w:highlight w:val="none"/>
        </w:rPr>
        <w:t>3</w:t>
      </w:r>
      <w:r>
        <w:rPr>
          <w:rFonts w:hint="eastAsia" w:ascii="宋体" w:hAnsi="宋体" w:eastAsia="宋体" w:cs="宋体"/>
          <w:color w:val="auto"/>
          <w:spacing w:val="-1"/>
          <w:sz w:val="21"/>
          <w:szCs w:val="21"/>
          <w:highlight w:val="none"/>
        </w:rPr>
        <w:t>年内在经营活动中没有以下违法记录，或因违法经营被禁止参加政府采购活动的</w:t>
      </w:r>
      <w:r>
        <w:rPr>
          <w:rFonts w:hint="eastAsia" w:ascii="宋体" w:hAnsi="宋体" w:eastAsia="宋体" w:cs="宋体"/>
          <w:color w:val="auto"/>
          <w:sz w:val="21"/>
          <w:szCs w:val="21"/>
          <w:highlight w:val="none"/>
        </w:rPr>
        <w:t>期限已届满：因违法经营受到刑事处罚或者责令停产停业、吊销许可证或者执照、较大数额罚款等行政处罚。</w:t>
      </w:r>
    </w:p>
    <w:p w14:paraId="3FFE15BC">
      <w:pPr>
        <w:pStyle w:val="23"/>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我方符合法律、行政法规规定的其他条件。</w:t>
      </w:r>
    </w:p>
    <w:p w14:paraId="0E34E900">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以上内容如有虚假或与事实不符的，评标委员会可将我方做无效</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处理，我方愿意承担相应的法律责任。</w:t>
      </w:r>
    </w:p>
    <w:p w14:paraId="6F6DEA68">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（十四）我方对在本函及</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中所作的所有承诺承担法律责任。</w:t>
      </w:r>
    </w:p>
    <w:p w14:paraId="2596A6B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（十五）所有与本招标有关的函件请发往下列地址：</w:t>
      </w:r>
    </w:p>
    <w:p w14:paraId="655203F4">
      <w:pPr>
        <w:pStyle w:val="8"/>
        <w:keepNext w:val="0"/>
        <w:keepLines w:val="0"/>
        <w:pageBreakBefore w:val="0"/>
        <w:widowControl w:val="0"/>
        <w:tabs>
          <w:tab w:val="left" w:pos="2854"/>
          <w:tab w:val="left" w:pos="2899"/>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573678CD">
      <w:pPr>
        <w:pStyle w:val="8"/>
        <w:keepNext w:val="0"/>
        <w:keepLines w:val="0"/>
        <w:pageBreakBefore w:val="0"/>
        <w:widowControl w:val="0"/>
        <w:tabs>
          <w:tab w:val="left" w:pos="2899"/>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2E6CAB43">
      <w:pPr>
        <w:pStyle w:val="8"/>
        <w:keepNext w:val="0"/>
        <w:keepLines w:val="0"/>
        <w:pageBreakBefore w:val="0"/>
        <w:widowControl w:val="0"/>
        <w:tabs>
          <w:tab w:val="left" w:pos="3178"/>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42E4027B">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p>
    <w:p w14:paraId="6BCB0086">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0F994BE7">
      <w:pPr>
        <w:pStyle w:val="8"/>
        <w:keepNext w:val="0"/>
        <w:keepLines w:val="0"/>
        <w:pageBreakBefore w:val="0"/>
        <w:widowControl w:val="0"/>
        <w:tabs>
          <w:tab w:val="left" w:pos="3693"/>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492E6088">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60EF03E1">
      <w:pPr>
        <w:rPr>
          <w:color w:val="auto"/>
          <w:sz w:val="20"/>
          <w:szCs w:val="20"/>
          <w:highlight w:val="none"/>
        </w:rPr>
      </w:pPr>
      <w:r>
        <w:rPr>
          <w:color w:val="auto"/>
          <w:sz w:val="20"/>
          <w:szCs w:val="20"/>
          <w:highlight w:val="none"/>
        </w:rPr>
        <w:br w:type="page"/>
      </w:r>
    </w:p>
    <w:p w14:paraId="7FEA7835">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格式二：</w:t>
      </w:r>
    </w:p>
    <w:p w14:paraId="4AE2D17D">
      <w:pPr>
        <w:pStyle w:val="8"/>
        <w:rPr>
          <w:rFonts w:hint="eastAsia"/>
          <w:color w:val="auto"/>
          <w:highlight w:val="none"/>
          <w:lang w:val="en-US" w:eastAsia="zh-CN"/>
        </w:rPr>
      </w:pPr>
    </w:p>
    <w:p w14:paraId="259CCAC0">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宋体" w:hAnsi="宋体" w:cs="宋体"/>
          <w:b/>
          <w:color w:val="auto"/>
          <w:kern w:val="2"/>
          <w:sz w:val="24"/>
          <w:szCs w:val="24"/>
          <w:highlight w:val="none"/>
          <w:lang w:val="zh-CN" w:eastAsia="zh-CN" w:bidi="zh-CN"/>
        </w:rPr>
        <w:t>首轮报价表</w:t>
      </w:r>
    </w:p>
    <w:p w14:paraId="5BACF3FD">
      <w:pPr>
        <w:pageBreakBefore w:val="0"/>
        <w:kinsoku/>
        <w:topLinePunct w:val="0"/>
        <w:autoSpaceDE/>
        <w:autoSpaceDN/>
        <w:bidi w:val="0"/>
        <w:spacing w:line="360" w:lineRule="auto"/>
        <w:rPr>
          <w:color w:val="auto"/>
          <w:highlight w:val="none"/>
        </w:rPr>
      </w:pPr>
    </w:p>
    <w:p w14:paraId="7B81996B">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名称：</w:t>
      </w:r>
    </w:p>
    <w:p w14:paraId="2067EDFD">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14:paraId="47513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14:paraId="5ABE5312">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noWrap w:val="0"/>
            <w:vAlign w:val="center"/>
          </w:tcPr>
          <w:p w14:paraId="10F58796">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noWrap w:val="0"/>
            <w:vAlign w:val="center"/>
          </w:tcPr>
          <w:p w14:paraId="739FA179">
            <w:pPr>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响应报价（</w:t>
            </w:r>
            <w:r>
              <w:rPr>
                <w:rFonts w:hint="eastAsia" w:ascii="宋体" w:hAnsi="宋体" w:cs="宋体"/>
                <w:b/>
                <w:color w:val="auto"/>
                <w:sz w:val="21"/>
                <w:szCs w:val="21"/>
                <w:highlight w:val="none"/>
                <w:lang w:val="en-US" w:eastAsia="zh-CN"/>
              </w:rPr>
              <w:t>元</w:t>
            </w:r>
            <w:r>
              <w:rPr>
                <w:rFonts w:hint="eastAsia" w:ascii="宋体" w:hAnsi="宋体" w:cs="宋体"/>
                <w:b/>
                <w:color w:val="auto"/>
                <w:sz w:val="21"/>
                <w:szCs w:val="21"/>
                <w:highlight w:val="none"/>
                <w:lang w:val="zh-CN"/>
              </w:rPr>
              <w:t>）</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03E96012">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14:paraId="60A23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14:paraId="3908D1DC">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noWrap w:val="0"/>
            <w:vAlign w:val="center"/>
          </w:tcPr>
          <w:p w14:paraId="04AC84D0">
            <w:pPr>
              <w:spacing w:line="360" w:lineRule="auto"/>
              <w:jc w:val="center"/>
              <w:rPr>
                <w:rFonts w:hint="eastAsia" w:ascii="宋体" w:hAnsi="宋体" w:eastAsia="宋体" w:cs="宋体"/>
                <w:color w:val="auto"/>
                <w:sz w:val="21"/>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noWrap w:val="0"/>
            <w:vAlign w:val="center"/>
          </w:tcPr>
          <w:p w14:paraId="4A49F01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p w14:paraId="093D5D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5ED87756">
            <w:pPr>
              <w:widowControl/>
              <w:autoSpaceDE/>
              <w:autoSpaceDN/>
              <w:adjustRightInd/>
              <w:rPr>
                <w:rFonts w:hint="eastAsia" w:ascii="宋体" w:hAnsi="宋体" w:eastAsia="宋体" w:cs="宋体"/>
                <w:color w:val="auto"/>
                <w:sz w:val="21"/>
                <w:szCs w:val="21"/>
                <w:highlight w:val="none"/>
              </w:rPr>
            </w:pPr>
          </w:p>
          <w:p w14:paraId="4941F555">
            <w:pPr>
              <w:spacing w:line="360" w:lineRule="auto"/>
              <w:rPr>
                <w:rFonts w:hint="eastAsia" w:ascii="宋体" w:hAnsi="宋体" w:eastAsia="宋体" w:cs="宋体"/>
                <w:color w:val="auto"/>
                <w:sz w:val="21"/>
                <w:szCs w:val="21"/>
                <w:highlight w:val="none"/>
              </w:rPr>
            </w:pPr>
          </w:p>
        </w:tc>
      </w:tr>
    </w:tbl>
    <w:p w14:paraId="32EA3ADD">
      <w:pPr>
        <w:pageBreakBefore w:val="0"/>
        <w:kinsoku/>
        <w:topLinePunct w:val="0"/>
        <w:autoSpaceDE/>
        <w:autoSpaceDN/>
        <w:bidi w:val="0"/>
        <w:spacing w:after="0" w:line="360" w:lineRule="auto"/>
        <w:rPr>
          <w:rFonts w:ascii="宋体" w:hAnsi="宋体" w:eastAsia="宋体"/>
          <w:color w:val="auto"/>
          <w:sz w:val="21"/>
          <w:szCs w:val="21"/>
          <w:highlight w:val="none"/>
        </w:rPr>
      </w:pPr>
    </w:p>
    <w:p w14:paraId="2004D521">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14:paraId="641DDACC">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14:paraId="2F2ECCD5">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14:paraId="40B1EAD8">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color w:val="auto"/>
          <w:sz w:val="20"/>
          <w:szCs w:val="20"/>
          <w:highlight w:val="none"/>
        </w:rPr>
        <w:t xml:space="preserve"> 年</w:t>
      </w:r>
      <w:r>
        <w:rPr>
          <w:rFonts w:hint="eastAsia"/>
          <w:color w:val="auto"/>
          <w:sz w:val="20"/>
          <w:szCs w:val="20"/>
          <w:highlight w:val="none"/>
          <w:lang w:val="en-US" w:eastAsia="zh-CN"/>
        </w:rPr>
        <w:t xml:space="preserve">  </w:t>
      </w:r>
      <w:r>
        <w:rPr>
          <w:color w:val="auto"/>
          <w:sz w:val="20"/>
          <w:szCs w:val="20"/>
          <w:highlight w:val="none"/>
        </w:rPr>
        <w:t xml:space="preserve"> 月 </w:t>
      </w:r>
      <w:r>
        <w:rPr>
          <w:rFonts w:hint="eastAsia"/>
          <w:color w:val="auto"/>
          <w:sz w:val="20"/>
          <w:szCs w:val="20"/>
          <w:highlight w:val="none"/>
          <w:lang w:val="en-US" w:eastAsia="zh-CN"/>
        </w:rPr>
        <w:t xml:space="preserve">  </w:t>
      </w:r>
      <w:r>
        <w:rPr>
          <w:color w:val="auto"/>
          <w:sz w:val="20"/>
          <w:szCs w:val="20"/>
          <w:highlight w:val="none"/>
        </w:rPr>
        <w:t>日</w:t>
      </w:r>
    </w:p>
    <w:p w14:paraId="1E4D39CD">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14:paraId="62BCEB6D">
      <w:pPr>
        <w:spacing w:before="312"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w:t>
      </w:r>
    </w:p>
    <w:p w14:paraId="2E2B81AC">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栏须用文字和数字两种方式表示的</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w:t>
      </w:r>
    </w:p>
    <w:p w14:paraId="42F9C204">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内容与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为准。</w:t>
      </w:r>
    </w:p>
    <w:p w14:paraId="0342DA65">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大写金额和小写金额不一致的，以大写金额为准。</w:t>
      </w:r>
    </w:p>
    <w:p w14:paraId="138A771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FCD729A">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格式三：</w:t>
      </w:r>
    </w:p>
    <w:p w14:paraId="1A0E5F62">
      <w:pPr>
        <w:jc w:val="center"/>
        <w:rPr>
          <w:rFonts w:hint="eastAsia"/>
          <w:b/>
          <w:bCs/>
          <w:color w:val="auto"/>
          <w:sz w:val="24"/>
          <w:szCs w:val="32"/>
          <w:highlight w:val="none"/>
          <w:lang w:val="en-US" w:eastAsia="zh-CN"/>
        </w:rPr>
      </w:pPr>
      <w:r>
        <w:rPr>
          <w:rFonts w:hint="eastAsia"/>
          <w:b/>
          <w:bCs/>
          <w:color w:val="auto"/>
          <w:sz w:val="24"/>
          <w:szCs w:val="32"/>
          <w:highlight w:val="none"/>
          <w:lang w:val="en-US" w:eastAsia="zh-CN"/>
        </w:rPr>
        <w:t>分项报价表</w:t>
      </w:r>
    </w:p>
    <w:p w14:paraId="1D3BE62C">
      <w:pPr>
        <w:pStyle w:val="11"/>
        <w:keepNext w:val="0"/>
        <w:keepLines w:val="0"/>
        <w:pageBreakBefore w:val="0"/>
        <w:widowControl w:val="0"/>
        <w:kinsoku/>
        <w:wordWrap/>
        <w:overflowPunct/>
        <w:topLinePunct w:val="0"/>
        <w:autoSpaceDE/>
        <w:autoSpaceDN/>
        <w:bidi w:val="0"/>
        <w:adjustRightInd/>
        <w:spacing w:line="360" w:lineRule="auto"/>
        <w:ind w:lef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14:paraId="3116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3774283">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7E26188D">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51BC130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0C30AF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14:paraId="1B1B392D">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193F517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5BE2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24292C5">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327F7A1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063BE5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4AB20E2">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918C42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3518BC2">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14:paraId="1284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92D9B75">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5F5FFCE7">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0EB1BBE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B0E70A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7FED9500">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79F0C12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14:paraId="58E1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93B06D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24FC9904">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FCD6B96">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8CE2E53">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6544BF58">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5A1D24B">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14:paraId="2B54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3BD2120">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463601E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222F09D1">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3D653D3">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DEBEA36">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2A01E6B2">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14:paraId="2535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8219855">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14:paraId="561A3179">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4680152">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A348ED5">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23D8AFF">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8675940">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14:paraId="6504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4B97878">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14:paraId="2EA7C40E">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r>
              <w:rPr>
                <w:rFonts w:hint="eastAsia" w:ascii="宋体" w:hAnsi="宋体" w:eastAsia="宋体" w:cs="宋体"/>
                <w:b/>
                <w:color w:val="auto"/>
                <w:sz w:val="21"/>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0259F499">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Cs/>
                <w:color w:val="auto"/>
                <w:sz w:val="21"/>
                <w:szCs w:val="21"/>
                <w:highlight w:val="none"/>
              </w:rPr>
            </w:pPr>
          </w:p>
        </w:tc>
      </w:tr>
    </w:tbl>
    <w:p w14:paraId="3CE6B97D">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color w:val="auto"/>
          <w:sz w:val="21"/>
          <w:szCs w:val="21"/>
          <w:highlight w:val="none"/>
        </w:rPr>
      </w:pPr>
    </w:p>
    <w:p w14:paraId="6D9DEADD">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1"/>
          <w:szCs w:val="21"/>
          <w:highlight w:val="none"/>
        </w:rPr>
      </w:pPr>
    </w:p>
    <w:p w14:paraId="3E4ABF8F">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注：1.如果单价和总价不符时，以单价为准，修正总价和总计。</w:t>
      </w:r>
    </w:p>
    <w:p w14:paraId="4C9EB2D9">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的报价应包括但不限于上述内容，应列明“用户需求书”所要求提供的所有服务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的价格明细。</w:t>
      </w:r>
    </w:p>
    <w:p w14:paraId="3D348574">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rPr>
      </w:pPr>
    </w:p>
    <w:p w14:paraId="73FD68EC">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14:paraId="12747B57">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14:paraId="1F42E257">
      <w:pPr>
        <w:pageBreakBefore w:val="0"/>
        <w:kinsoku/>
        <w:topLinePunct w:val="0"/>
        <w:autoSpaceDE/>
        <w:autoSpaceDN/>
        <w:bidi w:val="0"/>
        <w:spacing w:after="0"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14:paraId="120581B0">
      <w:pPr>
        <w:rPr>
          <w:color w:val="auto"/>
          <w:sz w:val="20"/>
          <w:szCs w:val="20"/>
          <w:highlight w:val="none"/>
        </w:rPr>
      </w:pPr>
      <w:r>
        <w:rPr>
          <w:color w:val="auto"/>
          <w:sz w:val="20"/>
          <w:szCs w:val="20"/>
          <w:highlight w:val="none"/>
        </w:rPr>
        <w:br w:type="page"/>
      </w:r>
    </w:p>
    <w:p w14:paraId="70CA774A">
      <w:pPr>
        <w:pStyle w:val="8"/>
        <w:rPr>
          <w:rFonts w:hint="eastAsia"/>
          <w:b/>
          <w:bCs/>
          <w:color w:val="auto"/>
          <w:highlight w:val="none"/>
          <w:lang w:val="en-US" w:eastAsia="zh-CN"/>
        </w:rPr>
      </w:pPr>
      <w:r>
        <w:rPr>
          <w:rFonts w:hint="eastAsia"/>
          <w:b/>
          <w:bCs/>
          <w:color w:val="auto"/>
          <w:highlight w:val="none"/>
          <w:lang w:val="en-US" w:eastAsia="zh-CN"/>
        </w:rPr>
        <w:t>格式四：</w:t>
      </w:r>
    </w:p>
    <w:p w14:paraId="1723BF6B">
      <w:pPr>
        <w:pStyle w:val="3"/>
        <w:keepNext/>
        <w:keepLines/>
        <w:pageBreakBefore w:val="0"/>
        <w:widowControl w:val="0"/>
        <w:kinsoku/>
        <w:wordWrap/>
        <w:overflowPunct/>
        <w:topLinePunct w:val="0"/>
        <w:autoSpaceDE/>
        <w:autoSpaceDN/>
        <w:bidi w:val="0"/>
        <w:adjustRightInd/>
        <w:snapToGrid/>
        <w:spacing w:before="0" w:after="0" w:line="360" w:lineRule="auto"/>
        <w:ind w:left="0" w:right="0"/>
        <w:jc w:val="center"/>
        <w:textAlignment w:val="auto"/>
        <w:rPr>
          <w:color w:val="auto"/>
          <w:sz w:val="24"/>
          <w:szCs w:val="24"/>
          <w:highlight w:val="none"/>
        </w:rPr>
      </w:pPr>
      <w:bookmarkStart w:id="243" w:name="_Toc17533"/>
      <w:bookmarkStart w:id="244" w:name="_Toc23039"/>
      <w:bookmarkStart w:id="245" w:name="_Toc19106"/>
      <w:bookmarkStart w:id="246" w:name="_Toc4452"/>
      <w:r>
        <w:rPr>
          <w:color w:val="auto"/>
          <w:sz w:val="24"/>
          <w:szCs w:val="24"/>
          <w:highlight w:val="none"/>
        </w:rPr>
        <w:t>法定代表人证明书</w:t>
      </w:r>
      <w:bookmarkEnd w:id="243"/>
      <w:bookmarkEnd w:id="244"/>
      <w:bookmarkEnd w:id="245"/>
      <w:bookmarkEnd w:id="246"/>
    </w:p>
    <w:p w14:paraId="31D28FBA">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职务，为法定代表人，特此证明</w:t>
      </w:r>
      <w:r>
        <w:rPr>
          <w:rFonts w:hint="eastAsia" w:ascii="宋体" w:hAnsi="宋体" w:eastAsia="宋体" w:cs="宋体"/>
          <w:color w:val="auto"/>
          <w:spacing w:val="-18"/>
          <w:sz w:val="21"/>
          <w:szCs w:val="21"/>
          <w:highlight w:val="none"/>
        </w:rPr>
        <w:t>。</w:t>
      </w:r>
    </w:p>
    <w:p w14:paraId="6BE116D9">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3E684EE4">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6EC1F14F">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7FA217AE">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注册号码：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4526F7BF">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企业类型：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72D3A902">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464509EC">
      <w:pPr>
        <w:pStyle w:val="8"/>
        <w:tabs>
          <w:tab w:val="left" w:pos="3693"/>
        </w:tabs>
        <w:spacing w:line="242" w:lineRule="exact"/>
        <w:ind w:right="104"/>
        <w:jc w:val="right"/>
        <w:rPr>
          <w:rFonts w:hint="eastAsia" w:ascii="宋体" w:hAnsi="宋体" w:eastAsia="宋体" w:cs="宋体"/>
          <w:color w:val="auto"/>
          <w:sz w:val="21"/>
          <w:szCs w:val="21"/>
          <w:highlight w:val="none"/>
        </w:rPr>
      </w:pPr>
    </w:p>
    <w:p w14:paraId="74426843">
      <w:pPr>
        <w:pStyle w:val="8"/>
        <w:tabs>
          <w:tab w:val="left" w:pos="3693"/>
        </w:tabs>
        <w:spacing w:line="242" w:lineRule="exact"/>
        <w:ind w:right="104"/>
        <w:jc w:val="right"/>
        <w:rPr>
          <w:rFonts w:hint="eastAsia" w:ascii="宋体" w:hAnsi="宋体" w:eastAsia="宋体" w:cs="宋体"/>
          <w:color w:val="auto"/>
          <w:sz w:val="21"/>
          <w:szCs w:val="21"/>
          <w:highlight w:val="none"/>
        </w:rPr>
      </w:pPr>
    </w:p>
    <w:p w14:paraId="279A7E4E">
      <w:pPr>
        <w:pStyle w:val="8"/>
        <w:keepNext w:val="0"/>
        <w:keepLines w:val="0"/>
        <w:pageBreakBefore w:val="0"/>
        <w:widowControl w:val="0"/>
        <w:tabs>
          <w:tab w:val="left" w:pos="3693"/>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0EE81439">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1529EFA8">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00C8CF1">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52FB4CDD">
      <w:pPr>
        <w:keepNext w:val="0"/>
        <w:keepLines w:val="0"/>
        <w:pageBreakBefore w:val="0"/>
        <w:widowControl w:val="0"/>
        <w:kinsoku/>
        <w:wordWrap/>
        <w:overflowPunct/>
        <w:topLinePunct w:val="0"/>
        <w:autoSpaceDE/>
        <w:autoSpaceDN/>
        <w:bidi w:val="0"/>
        <w:adjustRightInd/>
        <w:snapToGrid/>
        <w:spacing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5A32E1AA">
      <w:pPr>
        <w:pStyle w:val="8"/>
        <w:rPr>
          <w:rFonts w:hint="eastAsia"/>
          <w:color w:val="auto"/>
          <w:highlight w:val="none"/>
          <w:lang w:val="en-US" w:eastAsia="zh-CN"/>
        </w:rPr>
      </w:pPr>
    </w:p>
    <w:p w14:paraId="5D0B1EEE">
      <w:pPr>
        <w:rPr>
          <w:rFonts w:hint="eastAsia"/>
          <w:color w:val="auto"/>
          <w:highlight w:val="none"/>
          <w:lang w:val="en-US" w:eastAsia="zh-CN"/>
        </w:rPr>
      </w:pPr>
    </w:p>
    <w:p w14:paraId="38DB1B06">
      <w:pPr>
        <w:pStyle w:val="8"/>
        <w:rPr>
          <w:rFonts w:hint="eastAsia"/>
          <w:color w:val="auto"/>
          <w:highlight w:val="none"/>
          <w:lang w:val="en-US" w:eastAsia="zh-CN"/>
        </w:rPr>
      </w:pPr>
    </w:p>
    <w:p w14:paraId="45B96FEF">
      <w:pPr>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须附：法定代表人有效期内身份证复印件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7BF12D3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0D68BACC">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14:paraId="0FEA7241">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14:paraId="527521F6">
      <w:pPr>
        <w:rPr>
          <w:rFonts w:hint="eastAsia"/>
          <w:color w:val="auto"/>
          <w:highlight w:val="none"/>
          <w:lang w:val="en-US" w:eastAsia="zh-CN"/>
        </w:rPr>
      </w:pPr>
      <w:r>
        <w:rPr>
          <w:rFonts w:hint="eastAsia"/>
          <w:color w:val="auto"/>
          <w:highlight w:val="none"/>
          <w:lang w:val="en-US" w:eastAsia="zh-CN"/>
        </w:rPr>
        <w:br w:type="page"/>
      </w:r>
    </w:p>
    <w:p w14:paraId="3B10A8B0">
      <w:pPr>
        <w:pStyle w:val="8"/>
        <w:rPr>
          <w:rFonts w:hint="eastAsia"/>
          <w:b/>
          <w:bCs/>
          <w:color w:val="auto"/>
          <w:highlight w:val="none"/>
          <w:lang w:val="en-US" w:eastAsia="zh-CN"/>
        </w:rPr>
      </w:pPr>
      <w:r>
        <w:rPr>
          <w:rFonts w:hint="eastAsia"/>
          <w:b/>
          <w:bCs/>
          <w:color w:val="auto"/>
          <w:highlight w:val="none"/>
          <w:lang w:val="en-US" w:eastAsia="zh-CN"/>
        </w:rPr>
        <w:t>格式五：</w:t>
      </w:r>
    </w:p>
    <w:p w14:paraId="792FDB01">
      <w:pPr>
        <w:bidi w:val="0"/>
        <w:jc w:val="center"/>
        <w:rPr>
          <w:b/>
          <w:bCs/>
          <w:color w:val="auto"/>
          <w:sz w:val="24"/>
          <w:szCs w:val="32"/>
          <w:highlight w:val="none"/>
        </w:rPr>
      </w:pPr>
      <w:r>
        <w:rPr>
          <w:b/>
          <w:bCs/>
          <w:color w:val="auto"/>
          <w:sz w:val="24"/>
          <w:szCs w:val="32"/>
          <w:highlight w:val="none"/>
        </w:rPr>
        <w:t>法定代表人授权书</w:t>
      </w:r>
    </w:p>
    <w:p w14:paraId="33A7DC61">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14:paraId="2E498BDD">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本授权书声明：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是注册于</w:t>
      </w:r>
      <w:r>
        <w:rPr>
          <w:rFonts w:hint="eastAsia" w:ascii="宋体" w:hAnsi="宋体" w:eastAsia="宋体" w:cs="宋体"/>
          <w:color w:val="auto"/>
          <w:sz w:val="21"/>
          <w:szCs w:val="21"/>
          <w:highlight w:val="none"/>
          <w:u w:val="single"/>
          <w:lang w:eastAsia="zh-CN"/>
        </w:rPr>
        <w:t xml:space="preserve"> （国家或地区）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lang w:eastAsia="zh-CN"/>
        </w:rPr>
        <w:t>名称）</w:t>
      </w:r>
      <w:r>
        <w:rPr>
          <w:rFonts w:hint="eastAsia" w:ascii="宋体" w:hAnsi="宋体" w:eastAsia="宋体" w:cs="宋体"/>
          <w:color w:val="auto"/>
          <w:sz w:val="21"/>
          <w:szCs w:val="21"/>
          <w:highlight w:val="none"/>
          <w:lang w:eastAsia="zh-CN"/>
        </w:rPr>
        <w:t>的法定代表人，现任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职务，有效证件号码：</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eastAsia="zh-CN"/>
        </w:rPr>
        <w:t>。</w:t>
      </w:r>
    </w:p>
    <w:p w14:paraId="000C11A1">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现授权</w:t>
      </w:r>
      <w:r>
        <w:rPr>
          <w:rFonts w:hint="eastAsia" w:ascii="宋体" w:hAnsi="宋体" w:eastAsia="宋体" w:cs="宋体"/>
          <w:color w:val="auto"/>
          <w:sz w:val="21"/>
          <w:szCs w:val="21"/>
          <w:highlight w:val="none"/>
          <w:u w:val="single"/>
          <w:lang w:eastAsia="zh-CN"/>
        </w:rPr>
        <w:t xml:space="preserve"> （姓名、职务） </w:t>
      </w:r>
      <w:r>
        <w:rPr>
          <w:rFonts w:hint="eastAsia" w:ascii="宋体" w:hAnsi="宋体" w:eastAsia="宋体" w:cs="宋体"/>
          <w:color w:val="auto"/>
          <w:sz w:val="21"/>
          <w:szCs w:val="21"/>
          <w:highlight w:val="none"/>
          <w:lang w:eastAsia="zh-CN"/>
        </w:rPr>
        <w:t>作为我公司的全权代理人，就</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u w:val="single"/>
          <w:lang w:eastAsia="zh-CN"/>
        </w:rPr>
        <w:t>[项目编号为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lang w:eastAsia="zh-CN"/>
        </w:rPr>
        <w:t>和合同执行，以我方的名义处理一切与之有关的事宜。</w:t>
      </w:r>
    </w:p>
    <w:p w14:paraId="3A5D620D">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本授权书于</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日签字生效，特此声明。</w:t>
      </w:r>
    </w:p>
    <w:p w14:paraId="19CF3143">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14:paraId="09F7153D">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14:paraId="4733EC6D">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14:paraId="0E2E478A">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58225F67">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495CE138">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14:paraId="45CCAC89">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被授权人（签字或盖章）：</w:t>
      </w:r>
      <w:r>
        <w:rPr>
          <w:rFonts w:hint="eastAsia" w:ascii="宋体" w:hAnsi="宋体" w:eastAsia="宋体" w:cs="宋体"/>
          <w:color w:val="auto"/>
          <w:sz w:val="21"/>
          <w:szCs w:val="21"/>
          <w:highlight w:val="none"/>
          <w:u w:val="single"/>
          <w:lang w:val="en-US" w:eastAsia="zh-CN"/>
        </w:rPr>
        <w:t xml:space="preserve">               </w:t>
      </w:r>
    </w:p>
    <w:p w14:paraId="33DFBF39">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75D5E32">
      <w:pPr>
        <w:pStyle w:val="8"/>
        <w:keepNext w:val="0"/>
        <w:keepLines w:val="0"/>
        <w:pageBreakBefore w:val="0"/>
        <w:widowControl w:val="0"/>
        <w:tabs>
          <w:tab w:val="left" w:pos="2349"/>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p>
    <w:p w14:paraId="1EC37443">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5BCA4CCB">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p>
    <w:p w14:paraId="6C3AEAC8">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须附：被授权人有效期内身份证复印件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53C385B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5EEC0410">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14:paraId="305DAD5B">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14:paraId="6C7B7A17">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color w:val="auto"/>
          <w:sz w:val="20"/>
          <w:szCs w:val="20"/>
          <w:highlight w:val="none"/>
          <w:lang w:val="en-US" w:eastAsia="zh-CN"/>
        </w:rPr>
      </w:pPr>
    </w:p>
    <w:p w14:paraId="40305546">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14:paraId="377FE155">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格式六：</w:t>
      </w:r>
    </w:p>
    <w:p w14:paraId="0AF25B30">
      <w:pPr>
        <w:jc w:val="left"/>
        <w:rPr>
          <w:rFonts w:hint="eastAsia"/>
          <w:b/>
          <w:bCs/>
          <w:color w:val="auto"/>
          <w:sz w:val="24"/>
          <w:szCs w:val="24"/>
          <w:highlight w:val="none"/>
          <w:lang w:val="en-US" w:eastAsia="zh-CN"/>
        </w:rPr>
      </w:pPr>
      <w:r>
        <w:rPr>
          <w:color w:val="auto"/>
          <w:sz w:val="20"/>
          <w:szCs w:val="20"/>
          <w:highlight w:val="none"/>
        </w:rPr>
        <w:t>（以下格式文件由</w:t>
      </w:r>
      <w:r>
        <w:rPr>
          <w:rFonts w:hint="eastAsia"/>
          <w:color w:val="auto"/>
          <w:sz w:val="20"/>
          <w:szCs w:val="20"/>
          <w:highlight w:val="none"/>
          <w:lang w:eastAsia="zh-CN"/>
        </w:rPr>
        <w:t>供应商</w:t>
      </w:r>
      <w:r>
        <w:rPr>
          <w:color w:val="auto"/>
          <w:sz w:val="20"/>
          <w:szCs w:val="20"/>
          <w:highlight w:val="none"/>
        </w:rPr>
        <w:t>根据需要选用）</w:t>
      </w:r>
    </w:p>
    <w:p w14:paraId="2B98CE86">
      <w:pPr>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响应保证金</w:t>
      </w:r>
    </w:p>
    <w:p w14:paraId="6B549A07">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color w:val="auto"/>
          <w:sz w:val="21"/>
          <w:szCs w:val="21"/>
          <w:highlight w:val="none"/>
          <w:lang w:eastAsia="zh-CN"/>
        </w:rPr>
        <w:t>国顺招标有限</w:t>
      </w:r>
      <w:r>
        <w:rPr>
          <w:rFonts w:hint="eastAsia" w:ascii="宋体" w:hAnsi="宋体" w:eastAsia="宋体"/>
          <w:color w:val="auto"/>
          <w:sz w:val="21"/>
          <w:szCs w:val="21"/>
          <w:highlight w:val="none"/>
        </w:rPr>
        <w:t>公司：</w:t>
      </w:r>
    </w:p>
    <w:p w14:paraId="1F23CC43">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05A78BF7">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的汇款情况：（详见附件－</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p w14:paraId="5100EF7B">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14:paraId="3DED3238">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14:paraId="2D9D96FC">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w:t>
      </w:r>
      <w:r>
        <w:rPr>
          <w:rFonts w:hint="eastAsia" w:ascii="宋体" w:hAnsi="宋体" w:eastAsia="宋体"/>
          <w:color w:val="auto"/>
          <w:sz w:val="21"/>
          <w:szCs w:val="21"/>
          <w:highlight w:val="none"/>
          <w:lang w:eastAsia="zh-CN"/>
        </w:rPr>
        <w:t>账户</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w:t>
      </w:r>
      <w:r>
        <w:rPr>
          <w:rFonts w:hint="eastAsia" w:ascii="宋体" w:hAnsi="宋体" w:eastAsia="宋体"/>
          <w:color w:val="auto"/>
          <w:sz w:val="21"/>
          <w:szCs w:val="21"/>
          <w:highlight w:val="none"/>
          <w:u w:val="single"/>
        </w:rPr>
        <w:t xml:space="preserve">户名）   </w:t>
      </w:r>
    </w:p>
    <w:p w14:paraId="46B984F4">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 xml:space="preserve">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账号</w:t>
      </w:r>
      <w:r>
        <w:rPr>
          <w:rFonts w:hint="eastAsia" w:ascii="宋体" w:hAnsi="宋体" w:eastAsia="宋体"/>
          <w:color w:val="auto"/>
          <w:sz w:val="21"/>
          <w:szCs w:val="21"/>
          <w:highlight w:val="none"/>
          <w:u w:val="single"/>
        </w:rPr>
        <w:t xml:space="preserve">）     </w:t>
      </w:r>
    </w:p>
    <w:p w14:paraId="178526B1">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14:paraId="13E28795">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14:paraId="36BFE5B4">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退回时，请按上述资料退回。</w:t>
      </w:r>
    </w:p>
    <w:p w14:paraId="2F700698">
      <w:pPr>
        <w:keepNext w:val="0"/>
        <w:keepLines w:val="0"/>
        <w:pageBreakBefore w:val="0"/>
        <w:widowControl w:val="0"/>
        <w:kinsoku/>
        <w:wordWrap/>
        <w:overflowPunct/>
        <w:topLinePunct w:val="0"/>
        <w:autoSpaceDE/>
        <w:autoSpaceDN/>
        <w:bidi w:val="0"/>
        <w:adjustRightInd/>
        <w:snapToGrid/>
        <w:spacing w:after="0" w:line="360" w:lineRule="auto"/>
        <w:ind w:right="844" w:rightChars="402"/>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14:paraId="5E9A674B">
      <w:pPr>
        <w:keepNext w:val="0"/>
        <w:keepLines w:val="0"/>
        <w:pageBreakBefore w:val="0"/>
        <w:widowControl w:val="0"/>
        <w:kinsoku/>
        <w:wordWrap/>
        <w:overflowPunct/>
        <w:topLinePunct w:val="0"/>
        <w:autoSpaceDE/>
        <w:autoSpaceDN/>
        <w:bidi w:val="0"/>
        <w:adjustRightInd/>
        <w:snapToGrid/>
        <w:spacing w:after="0" w:line="360" w:lineRule="auto"/>
        <w:ind w:right="628" w:rightChars="299"/>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14:paraId="614CF9A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14:paraId="470D6BE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14:paraId="2164A53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14:paraId="71DA36F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14:paraId="2A6EC5E7">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tbl>
      <w:tblPr>
        <w:tblStyle w:val="1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3090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14:paraId="4AD684DC">
            <w:pPr>
              <w:pageBreakBefore w:val="0"/>
              <w:tabs>
                <w:tab w:val="left" w:pos="3885"/>
              </w:tabs>
              <w:kinsoku/>
              <w:topLinePunct w:val="0"/>
              <w:autoSpaceDE/>
              <w:autoSpaceDN/>
              <w:bidi w:val="0"/>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14:paraId="73AAC9CA">
      <w:pPr>
        <w:bidi w:val="0"/>
        <w:rPr>
          <w:rFonts w:hint="eastAsia"/>
          <w:color w:val="auto"/>
          <w:highlight w:val="none"/>
          <w:lang w:val="en-US" w:eastAsia="zh-CN"/>
        </w:rPr>
      </w:pPr>
      <w:r>
        <w:rPr>
          <w:rFonts w:hint="eastAsia"/>
          <w:color w:val="auto"/>
          <w:highlight w:val="none"/>
          <w:lang w:val="en-US" w:eastAsia="zh-CN"/>
        </w:rPr>
        <w:br w:type="page"/>
      </w:r>
    </w:p>
    <w:p w14:paraId="44FB5C7F">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格式七：</w:t>
      </w:r>
    </w:p>
    <w:p w14:paraId="3B08B83D">
      <w:pPr>
        <w:pStyle w:val="8"/>
        <w:jc w:val="center"/>
        <w:rPr>
          <w:rFonts w:hint="default"/>
          <w:b/>
          <w:bCs/>
          <w:color w:val="auto"/>
          <w:highlight w:val="none"/>
          <w:lang w:val="en-US" w:eastAsia="zh-CN"/>
        </w:rPr>
      </w:pPr>
      <w:r>
        <w:rPr>
          <w:rFonts w:hint="default"/>
          <w:b/>
          <w:bCs/>
          <w:color w:val="auto"/>
          <w:highlight w:val="none"/>
          <w:lang w:val="en-US" w:eastAsia="zh-CN"/>
        </w:rPr>
        <w:t>提供具有独立承担民事责任的能力的证明材料</w:t>
      </w:r>
    </w:p>
    <w:p w14:paraId="46C74CBC">
      <w:pPr>
        <w:ind w:firstLine="420" w:firstLineChars="200"/>
        <w:rPr>
          <w:rFonts w:hint="eastAsia"/>
          <w:b w:val="0"/>
          <w:bCs w:val="0"/>
          <w:color w:val="auto"/>
          <w:highlight w:val="none"/>
          <w:lang w:val="en-US" w:eastAsia="zh-CN"/>
        </w:rPr>
      </w:pPr>
    </w:p>
    <w:p w14:paraId="6563230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w:t>
      </w:r>
      <w:r>
        <w:rPr>
          <w:b w:val="0"/>
          <w:bCs w:val="0"/>
          <w:color w:val="auto"/>
          <w:sz w:val="21"/>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b w:val="0"/>
          <w:bCs w:val="0"/>
          <w:color w:val="auto"/>
          <w:w w:val="101"/>
          <w:sz w:val="21"/>
          <w:szCs w:val="21"/>
          <w:highlight w:val="none"/>
        </w:rPr>
        <w:t>。</w:t>
      </w:r>
      <w:r>
        <w:rPr>
          <w:rFonts w:hint="eastAsia"/>
          <w:b w:val="0"/>
          <w:bCs w:val="0"/>
          <w:color w:val="auto"/>
          <w:highlight w:val="none"/>
          <w:lang w:val="en-US" w:eastAsia="zh-CN"/>
        </w:rPr>
        <w:t>）</w:t>
      </w:r>
    </w:p>
    <w:p w14:paraId="3DF050ED">
      <w:pPr>
        <w:rPr>
          <w:rFonts w:hint="default"/>
          <w:b/>
          <w:bCs/>
          <w:color w:val="auto"/>
          <w:highlight w:val="none"/>
          <w:lang w:val="en-US" w:eastAsia="zh-CN"/>
        </w:rPr>
      </w:pPr>
      <w:r>
        <w:rPr>
          <w:rFonts w:hint="default"/>
          <w:b/>
          <w:bCs/>
          <w:color w:val="auto"/>
          <w:highlight w:val="none"/>
          <w:lang w:val="en-US" w:eastAsia="zh-CN"/>
        </w:rPr>
        <w:br w:type="page"/>
      </w:r>
    </w:p>
    <w:p w14:paraId="1C96FD49">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格式八：</w:t>
      </w:r>
    </w:p>
    <w:p w14:paraId="68C062F3">
      <w:pPr>
        <w:pStyle w:val="8"/>
        <w:jc w:val="center"/>
        <w:rPr>
          <w:b/>
          <w:bCs w:val="0"/>
          <w:color w:val="auto"/>
          <w:sz w:val="24"/>
          <w:highlight w:val="none"/>
        </w:rPr>
      </w:pPr>
      <w:r>
        <w:rPr>
          <w:b/>
          <w:bCs w:val="0"/>
          <w:color w:val="auto"/>
          <w:sz w:val="24"/>
          <w:highlight w:val="none"/>
        </w:rPr>
        <w:t>资格性审查要求的其他资质证明文件</w:t>
      </w:r>
    </w:p>
    <w:p w14:paraId="0BD48454">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color w:val="auto"/>
          <w:sz w:val="21"/>
          <w:szCs w:val="21"/>
          <w:highlight w:val="none"/>
          <w:lang w:val="en-US" w:eastAsia="zh-CN"/>
        </w:rPr>
      </w:pPr>
    </w:p>
    <w:p w14:paraId="65A28DE7">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w:t>
      </w:r>
      <w:r>
        <w:rPr>
          <w:color w:val="auto"/>
          <w:szCs w:val="21"/>
          <w:highlight w:val="none"/>
        </w:rPr>
        <w:t>（响应）</w:t>
      </w:r>
      <w:r>
        <w:rPr>
          <w:rFonts w:hint="eastAsia" w:ascii="宋体" w:hAnsi="宋体"/>
          <w:color w:val="auto"/>
          <w:szCs w:val="21"/>
          <w:highlight w:val="none"/>
        </w:rPr>
        <w:t>截止日前6个月内任意1个月依法缴纳税收和社会保障资金的相关材料。如依法免税或不需要缴纳社会保障资金的，提供相应证明材料。（提供相关证明资料或参考响应文件格式“资格条件声明函”作相关承诺）</w:t>
      </w:r>
    </w:p>
    <w:p w14:paraId="312591C8">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w:t>
      </w:r>
      <w:r>
        <w:rPr>
          <w:rFonts w:hint="eastAsia" w:ascii="宋体" w:hAnsi="宋体"/>
          <w:color w:val="auto"/>
          <w:szCs w:val="21"/>
          <w:highlight w:val="none"/>
          <w:lang w:eastAsia="zh-CN"/>
        </w:rPr>
        <w:t>2023年度财务状况报告</w:t>
      </w:r>
      <w:r>
        <w:rPr>
          <w:rFonts w:hint="eastAsia" w:ascii="宋体" w:hAnsi="宋体"/>
          <w:color w:val="auto"/>
          <w:szCs w:val="21"/>
          <w:highlight w:val="none"/>
        </w:rPr>
        <w:t>或基本开户行出具的资信证明）。（提供相关证明资料或参考响应文件格式“资格条件声明函”作相关承诺）</w:t>
      </w:r>
    </w:p>
    <w:p w14:paraId="36FA3AFC">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color w:val="auto"/>
          <w:sz w:val="20"/>
          <w:szCs w:val="24"/>
          <w:highlight w:val="none"/>
          <w:lang w:eastAsia="zh-CN"/>
        </w:rPr>
      </w:pPr>
      <w:r>
        <w:rPr>
          <w:rFonts w:hint="eastAsia" w:ascii="宋体" w:hAnsi="宋体"/>
          <w:color w:val="auto"/>
          <w:szCs w:val="21"/>
          <w:highlight w:val="none"/>
        </w:rPr>
        <w:t>3、履行合同所必须的设备和专业技术能力：填报设备及专业技术能力情况，格式自拟。（提供相关证明资料或参考响应文件格式“资格条件声明函”作相关承诺）</w:t>
      </w:r>
    </w:p>
    <w:p w14:paraId="2871C6D9">
      <w:pPr>
        <w:rPr>
          <w:rFonts w:hint="eastAsia"/>
          <w:color w:val="auto"/>
          <w:sz w:val="20"/>
          <w:szCs w:val="24"/>
          <w:highlight w:val="none"/>
          <w:lang w:eastAsia="zh-CN"/>
        </w:rPr>
      </w:pPr>
      <w:r>
        <w:rPr>
          <w:rFonts w:hint="eastAsia"/>
          <w:color w:val="auto"/>
          <w:sz w:val="20"/>
          <w:szCs w:val="24"/>
          <w:highlight w:val="none"/>
          <w:lang w:eastAsia="zh-CN"/>
        </w:rPr>
        <w:br w:type="page"/>
      </w:r>
    </w:p>
    <w:p w14:paraId="3F029D05">
      <w:pPr>
        <w:pStyle w:val="8"/>
        <w:ind w:firstLine="482"/>
        <w:jc w:val="center"/>
        <w:rPr>
          <w:b/>
          <w:color w:val="auto"/>
          <w:highlight w:val="none"/>
        </w:rPr>
      </w:pPr>
      <w:r>
        <w:rPr>
          <w:rFonts w:hint="eastAsia"/>
          <w:b/>
          <w:color w:val="auto"/>
          <w:highlight w:val="none"/>
        </w:rPr>
        <w:t>资格条件声明函</w:t>
      </w:r>
    </w:p>
    <w:p w14:paraId="4DCB4B84">
      <w:pPr>
        <w:ind w:firstLine="640"/>
        <w:rPr>
          <w:rFonts w:ascii="仿宋_GB2312" w:hAnsi="仿宋_GB2312" w:eastAsia="仿宋_GB2312" w:cs="仿宋_GB2312"/>
          <w:color w:val="auto"/>
          <w:sz w:val="32"/>
          <w:szCs w:val="32"/>
          <w:highlight w:val="none"/>
        </w:rPr>
      </w:pPr>
    </w:p>
    <w:p w14:paraId="1BDBA2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25541E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393C1A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4C4B4E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226B73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14:paraId="157DFB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4DFC95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2159B9B2">
      <w:pPr>
        <w:spacing w:line="360" w:lineRule="auto"/>
        <w:ind w:firstLine="420" w:firstLineChars="200"/>
        <w:rPr>
          <w:rFonts w:ascii="宋体" w:hAnsi="宋体" w:cs="宋体"/>
          <w:color w:val="auto"/>
          <w:szCs w:val="21"/>
          <w:highlight w:val="none"/>
        </w:rPr>
      </w:pPr>
    </w:p>
    <w:p w14:paraId="652E94A2">
      <w:pPr>
        <w:spacing w:line="360" w:lineRule="auto"/>
        <w:ind w:firstLine="420" w:firstLineChars="200"/>
        <w:rPr>
          <w:rFonts w:ascii="宋体" w:hAnsi="宋体" w:cs="宋体"/>
          <w:color w:val="auto"/>
          <w:szCs w:val="21"/>
          <w:highlight w:val="none"/>
        </w:rPr>
      </w:pPr>
    </w:p>
    <w:p w14:paraId="44E6158D">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71284AAE">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14:paraId="28648051">
      <w:pPr>
        <w:rPr>
          <w:rFonts w:hint="eastAsia"/>
          <w:b/>
          <w:bCs/>
          <w:color w:val="auto"/>
          <w:highlight w:val="none"/>
          <w:lang w:eastAsia="zh-CN"/>
        </w:rPr>
      </w:pPr>
      <w:r>
        <w:rPr>
          <w:rFonts w:hint="eastAsia"/>
          <w:b/>
          <w:bCs/>
          <w:color w:val="auto"/>
          <w:highlight w:val="none"/>
          <w:lang w:eastAsia="zh-CN"/>
        </w:rPr>
        <w:br w:type="page"/>
      </w:r>
    </w:p>
    <w:p w14:paraId="5CAE416F">
      <w:pPr>
        <w:pStyle w:val="8"/>
        <w:rPr>
          <w:rFonts w:hint="eastAsia"/>
          <w:color w:val="auto"/>
          <w:highlight w:val="none"/>
          <w:lang w:eastAsia="zh-CN"/>
        </w:rPr>
      </w:pPr>
      <w:r>
        <w:rPr>
          <w:rFonts w:hint="eastAsia"/>
          <w:b/>
          <w:bCs/>
          <w:color w:val="auto"/>
          <w:highlight w:val="none"/>
          <w:lang w:eastAsia="zh-CN"/>
        </w:rPr>
        <w:t>格式九：</w:t>
      </w:r>
    </w:p>
    <w:p w14:paraId="68D61719">
      <w:pPr>
        <w:rPr>
          <w:rFonts w:hint="eastAsia"/>
          <w:color w:val="auto"/>
          <w:highlight w:val="none"/>
          <w:lang w:eastAsia="zh-CN"/>
        </w:rPr>
      </w:pPr>
    </w:p>
    <w:p w14:paraId="6C1548FB">
      <w:pPr>
        <w:bidi w:val="0"/>
        <w:jc w:val="center"/>
        <w:rPr>
          <w:rFonts w:hint="eastAsia"/>
          <w:b/>
          <w:bCs/>
          <w:color w:val="auto"/>
          <w:sz w:val="24"/>
          <w:szCs w:val="32"/>
          <w:highlight w:val="none"/>
        </w:rPr>
      </w:pPr>
      <w:r>
        <w:rPr>
          <w:rFonts w:hint="eastAsia"/>
          <w:b/>
          <w:bCs/>
          <w:color w:val="auto"/>
          <w:sz w:val="24"/>
          <w:szCs w:val="32"/>
          <w:highlight w:val="none"/>
        </w:rPr>
        <w:t>在经营活动中没有重大违法记录的书面声明</w:t>
      </w:r>
    </w:p>
    <w:p w14:paraId="17B307C7">
      <w:pPr>
        <w:bidi w:val="0"/>
        <w:rPr>
          <w:color w:val="auto"/>
          <w:highlight w:val="none"/>
        </w:rPr>
      </w:pPr>
    </w:p>
    <w:p w14:paraId="5B5C0E74">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w:t>
      </w:r>
    </w:p>
    <w:p w14:paraId="73E998FF">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w:t>
      </w:r>
    </w:p>
    <w:p w14:paraId="3E7ACDF6">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14:paraId="67301378">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14:paraId="2C399FCA">
      <w:pPr>
        <w:pageBreakBefore w:val="0"/>
        <w:kinsoku/>
        <w:topLinePunct w:val="0"/>
        <w:autoSpaceDE/>
        <w:autoSpaceDN/>
        <w:bidi w:val="0"/>
        <w:spacing w:after="0" w:line="360" w:lineRule="auto"/>
        <w:rPr>
          <w:rFonts w:ascii="宋体" w:hAnsi="宋体" w:eastAsia="宋体" w:cs="宋体"/>
          <w:color w:val="auto"/>
          <w:sz w:val="21"/>
          <w:szCs w:val="21"/>
          <w:highlight w:val="none"/>
        </w:rPr>
      </w:pPr>
    </w:p>
    <w:p w14:paraId="2E79FA23">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14:paraId="7158046C">
      <w:pPr>
        <w:pageBreakBefore w:val="0"/>
        <w:kinsoku/>
        <w:topLinePunct w:val="0"/>
        <w:autoSpaceDE/>
        <w:autoSpaceDN/>
        <w:bidi w:val="0"/>
        <w:spacing w:after="0" w:line="360" w:lineRule="auto"/>
        <w:rPr>
          <w:rFonts w:ascii="宋体" w:hAnsi="宋体" w:eastAsia="宋体" w:cs="宋体"/>
          <w:color w:val="auto"/>
          <w:sz w:val="21"/>
          <w:szCs w:val="21"/>
          <w:highlight w:val="none"/>
        </w:rPr>
      </w:pPr>
    </w:p>
    <w:p w14:paraId="04278EFC">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CE2477A">
      <w:pPr>
        <w:bidi w:val="0"/>
        <w:rPr>
          <w:color w:val="auto"/>
          <w:highlight w:val="none"/>
        </w:rPr>
      </w:pPr>
      <w:r>
        <w:rPr>
          <w:color w:val="auto"/>
          <w:highlight w:val="none"/>
        </w:rPr>
        <w:br w:type="page"/>
      </w:r>
    </w:p>
    <w:p w14:paraId="7A72834E">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格式十：</w:t>
      </w:r>
    </w:p>
    <w:p w14:paraId="585DFDFE">
      <w:pPr>
        <w:pStyle w:val="8"/>
        <w:jc w:val="center"/>
        <w:rPr>
          <w:rFonts w:hint="default"/>
          <w:b/>
          <w:bCs/>
          <w:color w:val="auto"/>
          <w:highlight w:val="none"/>
          <w:lang w:val="en-US" w:eastAsia="zh-CN"/>
        </w:rPr>
      </w:pPr>
      <w:r>
        <w:rPr>
          <w:rFonts w:hint="eastAsia"/>
          <w:b/>
          <w:bCs/>
          <w:color w:val="auto"/>
          <w:highlight w:val="none"/>
          <w:lang w:val="en-US" w:eastAsia="zh-CN"/>
        </w:rPr>
        <w:t>供应商</w:t>
      </w:r>
      <w:r>
        <w:rPr>
          <w:rFonts w:hint="default"/>
          <w:b/>
          <w:bCs/>
          <w:color w:val="auto"/>
          <w:highlight w:val="none"/>
          <w:lang w:val="en-US" w:eastAsia="zh-CN"/>
        </w:rPr>
        <w:t>业绩情况表</w:t>
      </w:r>
    </w:p>
    <w:p w14:paraId="14BC4040">
      <w:pPr>
        <w:pStyle w:val="8"/>
        <w:spacing w:before="2" w:after="1"/>
        <w:rPr>
          <w:b/>
          <w:color w:val="auto"/>
          <w:sz w:val="17"/>
          <w:highlight w:val="none"/>
        </w:rPr>
      </w:pPr>
    </w:p>
    <w:tbl>
      <w:tblPr>
        <w:tblStyle w:val="17"/>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14:paraId="74862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033D2061">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1" w:type="pct"/>
            <w:shd w:val="clear" w:color="auto" w:fill="FFFFFF" w:themeFill="background1"/>
            <w:vAlign w:val="center"/>
          </w:tcPr>
          <w:p w14:paraId="2A444131">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客户名称</w:t>
            </w:r>
          </w:p>
        </w:tc>
        <w:tc>
          <w:tcPr>
            <w:tcW w:w="1553" w:type="pct"/>
            <w:shd w:val="clear" w:color="auto" w:fill="FFFFFF" w:themeFill="background1"/>
            <w:vAlign w:val="center"/>
          </w:tcPr>
          <w:p w14:paraId="6EF4C683">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项目名称及合同金额（万元）</w:t>
            </w:r>
          </w:p>
        </w:tc>
        <w:tc>
          <w:tcPr>
            <w:tcW w:w="779" w:type="pct"/>
            <w:shd w:val="clear" w:color="auto" w:fill="FFFFFF" w:themeFill="background1"/>
            <w:vAlign w:val="center"/>
          </w:tcPr>
          <w:p w14:paraId="644541C6">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签订合同时间</w:t>
            </w:r>
          </w:p>
        </w:tc>
        <w:tc>
          <w:tcPr>
            <w:tcW w:w="1001" w:type="pct"/>
            <w:shd w:val="clear" w:color="auto" w:fill="FFFFFF" w:themeFill="background1"/>
            <w:vAlign w:val="center"/>
          </w:tcPr>
          <w:p w14:paraId="40D9958C">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竣工验收报告时间</w:t>
            </w:r>
          </w:p>
        </w:tc>
        <w:tc>
          <w:tcPr>
            <w:tcW w:w="785" w:type="pct"/>
            <w:shd w:val="clear" w:color="auto" w:fill="FFFFFF" w:themeFill="background1"/>
            <w:vAlign w:val="center"/>
          </w:tcPr>
          <w:p w14:paraId="19E8163F">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联系人及电话</w:t>
            </w:r>
          </w:p>
        </w:tc>
      </w:tr>
      <w:tr w14:paraId="2F87E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14:paraId="03EA6F9F">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551" w:type="pct"/>
            <w:shd w:val="clear" w:color="auto" w:fill="FFFFFF" w:themeFill="background1"/>
            <w:vAlign w:val="top"/>
          </w:tcPr>
          <w:p w14:paraId="1671E849">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14:paraId="422DCFA5">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14:paraId="57A3599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14:paraId="441238F2">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14:paraId="26CBA20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36127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14:paraId="776934B9">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551" w:type="pct"/>
            <w:shd w:val="clear" w:color="auto" w:fill="FFFFFF" w:themeFill="background1"/>
            <w:vAlign w:val="top"/>
          </w:tcPr>
          <w:p w14:paraId="7F3B224B">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14:paraId="7960C9A4">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14:paraId="679E857F">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14:paraId="2ED8670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14:paraId="6086B0B8">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169A1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14:paraId="2A539161">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551" w:type="pct"/>
            <w:shd w:val="clear" w:color="auto" w:fill="FFFFFF" w:themeFill="background1"/>
            <w:vAlign w:val="top"/>
          </w:tcPr>
          <w:p w14:paraId="615934E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14:paraId="12310D2B">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14:paraId="11BADBDF">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14:paraId="5A3D66FA">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14:paraId="4835B1D8">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06BAA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6A86C146">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551" w:type="pct"/>
          </w:tcPr>
          <w:p w14:paraId="02558C9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14:paraId="29AE548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14:paraId="48CF85F4">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14:paraId="719C8330">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14:paraId="7F09D880">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07F14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358EE02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rPr>
              <w:t>…</w:t>
            </w:r>
          </w:p>
        </w:tc>
        <w:tc>
          <w:tcPr>
            <w:tcW w:w="551" w:type="pct"/>
          </w:tcPr>
          <w:p w14:paraId="22E523C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14:paraId="2804164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14:paraId="09CDD31B">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14:paraId="3A512EF8">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14:paraId="6C7F6E5A">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bl>
    <w:p w14:paraId="016FBB4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根据上述业绩情况，按</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要求附销售或服务合同复印件及评审标准要求的证明材料。</w:t>
      </w:r>
    </w:p>
    <w:p w14:paraId="0F79935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6993DB6A">
      <w:pPr>
        <w:pStyle w:val="8"/>
        <w:rPr>
          <w:rFonts w:hint="eastAsia"/>
          <w:b/>
          <w:bCs/>
          <w:color w:val="auto"/>
          <w:highlight w:val="none"/>
          <w:lang w:val="en-US" w:eastAsia="zh-CN"/>
        </w:rPr>
      </w:pPr>
      <w:r>
        <w:rPr>
          <w:rFonts w:hint="eastAsia"/>
          <w:b/>
          <w:bCs/>
          <w:color w:val="auto"/>
          <w:highlight w:val="none"/>
          <w:lang w:val="en-US" w:eastAsia="zh-CN"/>
        </w:rPr>
        <w:t>格式十一：</w:t>
      </w:r>
    </w:p>
    <w:p w14:paraId="1C3030FD">
      <w:pPr>
        <w:jc w:val="center"/>
        <w:rPr>
          <w:b/>
          <w:bCs/>
          <w:color w:val="auto"/>
          <w:sz w:val="24"/>
          <w:szCs w:val="32"/>
          <w:highlight w:val="none"/>
        </w:rPr>
      </w:pPr>
      <w:r>
        <w:rPr>
          <w:b/>
          <w:bCs/>
          <w:color w:val="auto"/>
          <w:sz w:val="24"/>
          <w:szCs w:val="32"/>
          <w:highlight w:val="none"/>
        </w:rPr>
        <w:t>技术要求响应表</w:t>
      </w:r>
    </w:p>
    <w:p w14:paraId="419D7C0F">
      <w:pPr>
        <w:pStyle w:val="8"/>
        <w:rPr>
          <w:color w:val="auto"/>
          <w:highlight w:val="none"/>
          <w:lang w:val="en-US"/>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5A23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24821600">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3A35A0AD">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767D145B">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2B47179C">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4441554F">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7BCB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7353A7C7">
            <w:pPr>
              <w:spacing w:line="360" w:lineRule="auto"/>
              <w:rPr>
                <w:rFonts w:ascii="宋体" w:hAnsi="宋体"/>
                <w:b/>
                <w:color w:val="auto"/>
                <w:szCs w:val="21"/>
                <w:highlight w:val="none"/>
              </w:rPr>
            </w:pPr>
          </w:p>
        </w:tc>
        <w:tc>
          <w:tcPr>
            <w:tcW w:w="2907" w:type="dxa"/>
          </w:tcPr>
          <w:p w14:paraId="3FFB550E">
            <w:pPr>
              <w:spacing w:line="360" w:lineRule="auto"/>
              <w:rPr>
                <w:rFonts w:ascii="宋体" w:hAnsi="宋体"/>
                <w:b/>
                <w:color w:val="auto"/>
                <w:szCs w:val="21"/>
                <w:highlight w:val="none"/>
              </w:rPr>
            </w:pPr>
          </w:p>
        </w:tc>
        <w:tc>
          <w:tcPr>
            <w:tcW w:w="2551" w:type="dxa"/>
          </w:tcPr>
          <w:p w14:paraId="062650E7">
            <w:pPr>
              <w:spacing w:line="360" w:lineRule="auto"/>
              <w:rPr>
                <w:rFonts w:ascii="宋体" w:hAnsi="宋体"/>
                <w:b/>
                <w:color w:val="auto"/>
                <w:szCs w:val="21"/>
                <w:highlight w:val="none"/>
              </w:rPr>
            </w:pPr>
          </w:p>
        </w:tc>
        <w:tc>
          <w:tcPr>
            <w:tcW w:w="1418" w:type="dxa"/>
          </w:tcPr>
          <w:p w14:paraId="26E8DDB1">
            <w:pPr>
              <w:spacing w:line="360" w:lineRule="auto"/>
              <w:rPr>
                <w:rFonts w:ascii="宋体" w:hAnsi="宋体"/>
                <w:b/>
                <w:color w:val="auto"/>
                <w:szCs w:val="21"/>
                <w:highlight w:val="none"/>
              </w:rPr>
            </w:pPr>
          </w:p>
        </w:tc>
        <w:tc>
          <w:tcPr>
            <w:tcW w:w="851" w:type="dxa"/>
          </w:tcPr>
          <w:p w14:paraId="66A322F9">
            <w:pPr>
              <w:spacing w:line="360" w:lineRule="auto"/>
              <w:rPr>
                <w:rFonts w:ascii="宋体" w:hAnsi="宋体"/>
                <w:b/>
                <w:color w:val="auto"/>
                <w:szCs w:val="21"/>
                <w:highlight w:val="none"/>
              </w:rPr>
            </w:pPr>
          </w:p>
        </w:tc>
      </w:tr>
      <w:tr w14:paraId="140C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00313193">
            <w:pPr>
              <w:spacing w:line="360" w:lineRule="auto"/>
              <w:rPr>
                <w:rFonts w:ascii="宋体" w:hAnsi="宋体" w:cs="宋体"/>
                <w:color w:val="auto"/>
                <w:szCs w:val="21"/>
                <w:highlight w:val="none"/>
              </w:rPr>
            </w:pPr>
          </w:p>
        </w:tc>
        <w:tc>
          <w:tcPr>
            <w:tcW w:w="2907" w:type="dxa"/>
            <w:vAlign w:val="center"/>
          </w:tcPr>
          <w:p w14:paraId="2F221894">
            <w:pPr>
              <w:spacing w:line="360" w:lineRule="auto"/>
              <w:rPr>
                <w:rFonts w:ascii="宋体" w:hAnsi="宋体" w:cs="宋体"/>
                <w:color w:val="auto"/>
                <w:szCs w:val="21"/>
                <w:highlight w:val="none"/>
              </w:rPr>
            </w:pPr>
          </w:p>
        </w:tc>
        <w:tc>
          <w:tcPr>
            <w:tcW w:w="2551" w:type="dxa"/>
          </w:tcPr>
          <w:p w14:paraId="1CC0FC27">
            <w:pPr>
              <w:spacing w:line="360" w:lineRule="auto"/>
              <w:rPr>
                <w:rFonts w:ascii="宋体" w:hAnsi="宋体"/>
                <w:b/>
                <w:color w:val="auto"/>
                <w:szCs w:val="21"/>
                <w:highlight w:val="none"/>
              </w:rPr>
            </w:pPr>
          </w:p>
        </w:tc>
        <w:tc>
          <w:tcPr>
            <w:tcW w:w="1418" w:type="dxa"/>
          </w:tcPr>
          <w:p w14:paraId="08C12E0C">
            <w:pPr>
              <w:spacing w:line="360" w:lineRule="auto"/>
              <w:rPr>
                <w:rFonts w:ascii="宋体" w:hAnsi="宋体"/>
                <w:b/>
                <w:color w:val="auto"/>
                <w:szCs w:val="21"/>
                <w:highlight w:val="none"/>
              </w:rPr>
            </w:pPr>
          </w:p>
        </w:tc>
        <w:tc>
          <w:tcPr>
            <w:tcW w:w="851" w:type="dxa"/>
          </w:tcPr>
          <w:p w14:paraId="282A53F9">
            <w:pPr>
              <w:spacing w:line="360" w:lineRule="auto"/>
              <w:rPr>
                <w:rFonts w:ascii="宋体" w:hAnsi="宋体"/>
                <w:b/>
                <w:color w:val="auto"/>
                <w:szCs w:val="21"/>
                <w:highlight w:val="none"/>
              </w:rPr>
            </w:pPr>
          </w:p>
        </w:tc>
      </w:tr>
      <w:tr w14:paraId="721E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8F3D559">
            <w:pPr>
              <w:spacing w:line="360" w:lineRule="auto"/>
              <w:rPr>
                <w:rFonts w:ascii="宋体" w:hAnsi="宋体"/>
                <w:b/>
                <w:color w:val="auto"/>
                <w:szCs w:val="21"/>
                <w:highlight w:val="none"/>
              </w:rPr>
            </w:pPr>
          </w:p>
        </w:tc>
        <w:tc>
          <w:tcPr>
            <w:tcW w:w="2907" w:type="dxa"/>
          </w:tcPr>
          <w:p w14:paraId="775CBF95">
            <w:pPr>
              <w:spacing w:line="360" w:lineRule="auto"/>
              <w:rPr>
                <w:rFonts w:ascii="宋体" w:hAnsi="宋体"/>
                <w:b/>
                <w:color w:val="auto"/>
                <w:szCs w:val="21"/>
                <w:highlight w:val="none"/>
              </w:rPr>
            </w:pPr>
          </w:p>
        </w:tc>
        <w:tc>
          <w:tcPr>
            <w:tcW w:w="2551" w:type="dxa"/>
          </w:tcPr>
          <w:p w14:paraId="3554C542">
            <w:pPr>
              <w:spacing w:line="360" w:lineRule="auto"/>
              <w:rPr>
                <w:rFonts w:ascii="宋体" w:hAnsi="宋体"/>
                <w:b/>
                <w:color w:val="auto"/>
                <w:szCs w:val="21"/>
                <w:highlight w:val="none"/>
              </w:rPr>
            </w:pPr>
          </w:p>
        </w:tc>
        <w:tc>
          <w:tcPr>
            <w:tcW w:w="1418" w:type="dxa"/>
          </w:tcPr>
          <w:p w14:paraId="667AD891">
            <w:pPr>
              <w:spacing w:line="360" w:lineRule="auto"/>
              <w:rPr>
                <w:rFonts w:ascii="宋体" w:hAnsi="宋体"/>
                <w:b/>
                <w:color w:val="auto"/>
                <w:szCs w:val="21"/>
                <w:highlight w:val="none"/>
              </w:rPr>
            </w:pPr>
          </w:p>
        </w:tc>
        <w:tc>
          <w:tcPr>
            <w:tcW w:w="851" w:type="dxa"/>
          </w:tcPr>
          <w:p w14:paraId="5A9D0236">
            <w:pPr>
              <w:spacing w:line="360" w:lineRule="auto"/>
              <w:rPr>
                <w:rFonts w:ascii="宋体" w:hAnsi="宋体"/>
                <w:b/>
                <w:color w:val="auto"/>
                <w:szCs w:val="21"/>
                <w:highlight w:val="none"/>
              </w:rPr>
            </w:pPr>
          </w:p>
        </w:tc>
      </w:tr>
      <w:tr w14:paraId="5056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37633CFC">
            <w:pPr>
              <w:spacing w:line="360" w:lineRule="auto"/>
              <w:rPr>
                <w:rFonts w:ascii="宋体" w:hAnsi="宋体"/>
                <w:b/>
                <w:color w:val="auto"/>
                <w:szCs w:val="21"/>
                <w:highlight w:val="none"/>
              </w:rPr>
            </w:pPr>
          </w:p>
        </w:tc>
        <w:tc>
          <w:tcPr>
            <w:tcW w:w="2907" w:type="dxa"/>
          </w:tcPr>
          <w:p w14:paraId="75A8A06E">
            <w:pPr>
              <w:spacing w:line="360" w:lineRule="auto"/>
              <w:rPr>
                <w:rFonts w:ascii="宋体" w:hAnsi="宋体"/>
                <w:b/>
                <w:color w:val="auto"/>
                <w:szCs w:val="21"/>
                <w:highlight w:val="none"/>
              </w:rPr>
            </w:pPr>
          </w:p>
        </w:tc>
        <w:tc>
          <w:tcPr>
            <w:tcW w:w="2551" w:type="dxa"/>
          </w:tcPr>
          <w:p w14:paraId="23FE40D0">
            <w:pPr>
              <w:spacing w:line="360" w:lineRule="auto"/>
              <w:rPr>
                <w:rFonts w:ascii="宋体" w:hAnsi="宋体"/>
                <w:b/>
                <w:color w:val="auto"/>
                <w:szCs w:val="21"/>
                <w:highlight w:val="none"/>
              </w:rPr>
            </w:pPr>
          </w:p>
        </w:tc>
        <w:tc>
          <w:tcPr>
            <w:tcW w:w="1418" w:type="dxa"/>
          </w:tcPr>
          <w:p w14:paraId="6CE43CF3">
            <w:pPr>
              <w:spacing w:line="360" w:lineRule="auto"/>
              <w:rPr>
                <w:rFonts w:ascii="宋体" w:hAnsi="宋体"/>
                <w:b/>
                <w:color w:val="auto"/>
                <w:szCs w:val="21"/>
                <w:highlight w:val="none"/>
              </w:rPr>
            </w:pPr>
          </w:p>
        </w:tc>
        <w:tc>
          <w:tcPr>
            <w:tcW w:w="851" w:type="dxa"/>
          </w:tcPr>
          <w:p w14:paraId="08BC106F">
            <w:pPr>
              <w:spacing w:line="360" w:lineRule="auto"/>
              <w:rPr>
                <w:rFonts w:ascii="宋体" w:hAnsi="宋体"/>
                <w:b/>
                <w:color w:val="auto"/>
                <w:szCs w:val="21"/>
                <w:highlight w:val="none"/>
              </w:rPr>
            </w:pPr>
          </w:p>
        </w:tc>
      </w:tr>
      <w:tr w14:paraId="7D7E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03467F3">
            <w:pPr>
              <w:spacing w:line="360" w:lineRule="auto"/>
              <w:rPr>
                <w:rFonts w:ascii="宋体" w:hAnsi="宋体"/>
                <w:b/>
                <w:color w:val="auto"/>
                <w:szCs w:val="21"/>
                <w:highlight w:val="none"/>
              </w:rPr>
            </w:pPr>
          </w:p>
        </w:tc>
        <w:tc>
          <w:tcPr>
            <w:tcW w:w="2907" w:type="dxa"/>
          </w:tcPr>
          <w:p w14:paraId="08A1969A">
            <w:pPr>
              <w:spacing w:line="360" w:lineRule="auto"/>
              <w:rPr>
                <w:rFonts w:ascii="宋体" w:hAnsi="宋体"/>
                <w:b/>
                <w:color w:val="auto"/>
                <w:szCs w:val="21"/>
                <w:highlight w:val="none"/>
              </w:rPr>
            </w:pPr>
          </w:p>
        </w:tc>
        <w:tc>
          <w:tcPr>
            <w:tcW w:w="2551" w:type="dxa"/>
          </w:tcPr>
          <w:p w14:paraId="47B23163">
            <w:pPr>
              <w:spacing w:line="360" w:lineRule="auto"/>
              <w:rPr>
                <w:rFonts w:ascii="宋体" w:hAnsi="宋体"/>
                <w:b/>
                <w:color w:val="auto"/>
                <w:szCs w:val="21"/>
                <w:highlight w:val="none"/>
              </w:rPr>
            </w:pPr>
          </w:p>
        </w:tc>
        <w:tc>
          <w:tcPr>
            <w:tcW w:w="1418" w:type="dxa"/>
          </w:tcPr>
          <w:p w14:paraId="72B8285E">
            <w:pPr>
              <w:spacing w:line="360" w:lineRule="auto"/>
              <w:rPr>
                <w:rFonts w:ascii="宋体" w:hAnsi="宋体"/>
                <w:b/>
                <w:color w:val="auto"/>
                <w:szCs w:val="21"/>
                <w:highlight w:val="none"/>
              </w:rPr>
            </w:pPr>
          </w:p>
        </w:tc>
        <w:tc>
          <w:tcPr>
            <w:tcW w:w="851" w:type="dxa"/>
          </w:tcPr>
          <w:p w14:paraId="6B89F4B1">
            <w:pPr>
              <w:spacing w:line="360" w:lineRule="auto"/>
              <w:rPr>
                <w:rFonts w:ascii="宋体" w:hAnsi="宋体"/>
                <w:b/>
                <w:color w:val="auto"/>
                <w:szCs w:val="21"/>
                <w:highlight w:val="none"/>
              </w:rPr>
            </w:pPr>
          </w:p>
        </w:tc>
      </w:tr>
      <w:tr w14:paraId="15DF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AAEA859">
            <w:pPr>
              <w:spacing w:line="360" w:lineRule="auto"/>
              <w:rPr>
                <w:rFonts w:ascii="宋体" w:hAnsi="宋体"/>
                <w:b/>
                <w:color w:val="auto"/>
                <w:szCs w:val="21"/>
                <w:highlight w:val="none"/>
              </w:rPr>
            </w:pPr>
          </w:p>
        </w:tc>
        <w:tc>
          <w:tcPr>
            <w:tcW w:w="2907" w:type="dxa"/>
          </w:tcPr>
          <w:p w14:paraId="5393CA05">
            <w:pPr>
              <w:spacing w:line="360" w:lineRule="auto"/>
              <w:rPr>
                <w:rFonts w:ascii="宋体" w:hAnsi="宋体"/>
                <w:b/>
                <w:color w:val="auto"/>
                <w:szCs w:val="21"/>
                <w:highlight w:val="none"/>
              </w:rPr>
            </w:pPr>
          </w:p>
        </w:tc>
        <w:tc>
          <w:tcPr>
            <w:tcW w:w="2551" w:type="dxa"/>
          </w:tcPr>
          <w:p w14:paraId="148C2668">
            <w:pPr>
              <w:spacing w:line="360" w:lineRule="auto"/>
              <w:rPr>
                <w:rFonts w:ascii="宋体" w:hAnsi="宋体"/>
                <w:b/>
                <w:color w:val="auto"/>
                <w:szCs w:val="21"/>
                <w:highlight w:val="none"/>
              </w:rPr>
            </w:pPr>
          </w:p>
        </w:tc>
        <w:tc>
          <w:tcPr>
            <w:tcW w:w="1418" w:type="dxa"/>
          </w:tcPr>
          <w:p w14:paraId="082A8691">
            <w:pPr>
              <w:spacing w:line="360" w:lineRule="auto"/>
              <w:rPr>
                <w:rFonts w:ascii="宋体" w:hAnsi="宋体"/>
                <w:b/>
                <w:color w:val="auto"/>
                <w:szCs w:val="21"/>
                <w:highlight w:val="none"/>
              </w:rPr>
            </w:pPr>
          </w:p>
        </w:tc>
        <w:tc>
          <w:tcPr>
            <w:tcW w:w="851" w:type="dxa"/>
          </w:tcPr>
          <w:p w14:paraId="77838525">
            <w:pPr>
              <w:spacing w:line="360" w:lineRule="auto"/>
              <w:rPr>
                <w:rFonts w:ascii="宋体" w:hAnsi="宋体"/>
                <w:b/>
                <w:color w:val="auto"/>
                <w:szCs w:val="21"/>
                <w:highlight w:val="none"/>
              </w:rPr>
            </w:pPr>
          </w:p>
        </w:tc>
      </w:tr>
    </w:tbl>
    <w:p w14:paraId="1597A411">
      <w:pPr>
        <w:spacing w:line="360" w:lineRule="auto"/>
        <w:rPr>
          <w:rFonts w:ascii="宋体" w:hAnsi="宋体"/>
          <w:color w:val="auto"/>
          <w:szCs w:val="21"/>
          <w:highlight w:val="none"/>
        </w:rPr>
      </w:pPr>
    </w:p>
    <w:p w14:paraId="53ED2306">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14:paraId="3DF79E37">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784D17BC">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4C8C959A">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7FE2941A">
      <w:pPr>
        <w:snapToGrid w:val="0"/>
        <w:spacing w:line="360" w:lineRule="auto"/>
        <w:rPr>
          <w:rFonts w:ascii="宋体" w:hAnsi="宋体"/>
          <w:color w:val="auto"/>
          <w:szCs w:val="21"/>
          <w:highlight w:val="none"/>
        </w:rPr>
      </w:pPr>
    </w:p>
    <w:p w14:paraId="04AE6443">
      <w:pPr>
        <w:snapToGrid w:val="0"/>
        <w:spacing w:line="360" w:lineRule="auto"/>
        <w:rPr>
          <w:rFonts w:ascii="宋体" w:hAnsi="宋体"/>
          <w:color w:val="auto"/>
          <w:szCs w:val="21"/>
          <w:highlight w:val="none"/>
        </w:rPr>
      </w:pPr>
    </w:p>
    <w:p w14:paraId="34E68AC1">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14:paraId="27B05B1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14:paraId="65320DAA">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14:paraId="1088811D">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14:paraId="155862DE">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格式十二：</w:t>
      </w:r>
    </w:p>
    <w:p w14:paraId="5399500E">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1A8FBFC5">
      <w:pPr>
        <w:rPr>
          <w:b/>
          <w:bCs/>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57D8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6DE794B4">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3C845FF1">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11D2BFA7">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64FF9C8F">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2D40ACA2">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05B7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3C5396E">
            <w:pPr>
              <w:spacing w:line="360" w:lineRule="auto"/>
              <w:rPr>
                <w:rFonts w:ascii="宋体" w:hAnsi="宋体"/>
                <w:b/>
                <w:color w:val="auto"/>
                <w:szCs w:val="21"/>
                <w:highlight w:val="none"/>
              </w:rPr>
            </w:pPr>
          </w:p>
        </w:tc>
        <w:tc>
          <w:tcPr>
            <w:tcW w:w="2907" w:type="dxa"/>
          </w:tcPr>
          <w:p w14:paraId="58ADE79C">
            <w:pPr>
              <w:spacing w:line="360" w:lineRule="auto"/>
              <w:rPr>
                <w:rFonts w:ascii="宋体" w:hAnsi="宋体"/>
                <w:b/>
                <w:color w:val="auto"/>
                <w:szCs w:val="21"/>
                <w:highlight w:val="none"/>
              </w:rPr>
            </w:pPr>
          </w:p>
        </w:tc>
        <w:tc>
          <w:tcPr>
            <w:tcW w:w="2551" w:type="dxa"/>
          </w:tcPr>
          <w:p w14:paraId="7E8E84BF">
            <w:pPr>
              <w:spacing w:line="360" w:lineRule="auto"/>
              <w:rPr>
                <w:rFonts w:ascii="宋体" w:hAnsi="宋体"/>
                <w:b/>
                <w:color w:val="auto"/>
                <w:szCs w:val="21"/>
                <w:highlight w:val="none"/>
              </w:rPr>
            </w:pPr>
          </w:p>
        </w:tc>
        <w:tc>
          <w:tcPr>
            <w:tcW w:w="1418" w:type="dxa"/>
          </w:tcPr>
          <w:p w14:paraId="79465F11">
            <w:pPr>
              <w:spacing w:line="360" w:lineRule="auto"/>
              <w:rPr>
                <w:rFonts w:ascii="宋体" w:hAnsi="宋体"/>
                <w:b/>
                <w:color w:val="auto"/>
                <w:szCs w:val="21"/>
                <w:highlight w:val="none"/>
              </w:rPr>
            </w:pPr>
          </w:p>
        </w:tc>
        <w:tc>
          <w:tcPr>
            <w:tcW w:w="851" w:type="dxa"/>
          </w:tcPr>
          <w:p w14:paraId="081784B4">
            <w:pPr>
              <w:spacing w:line="360" w:lineRule="auto"/>
              <w:rPr>
                <w:rFonts w:ascii="宋体" w:hAnsi="宋体"/>
                <w:b/>
                <w:color w:val="auto"/>
                <w:szCs w:val="21"/>
                <w:highlight w:val="none"/>
              </w:rPr>
            </w:pPr>
          </w:p>
        </w:tc>
      </w:tr>
      <w:tr w14:paraId="0A8A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6CFDBDB5">
            <w:pPr>
              <w:spacing w:line="360" w:lineRule="auto"/>
              <w:rPr>
                <w:rFonts w:ascii="宋体" w:hAnsi="宋体" w:cs="宋体"/>
                <w:color w:val="auto"/>
                <w:szCs w:val="21"/>
                <w:highlight w:val="none"/>
              </w:rPr>
            </w:pPr>
          </w:p>
        </w:tc>
        <w:tc>
          <w:tcPr>
            <w:tcW w:w="2907" w:type="dxa"/>
            <w:vAlign w:val="center"/>
          </w:tcPr>
          <w:p w14:paraId="107230F4">
            <w:pPr>
              <w:spacing w:line="360" w:lineRule="auto"/>
              <w:rPr>
                <w:rFonts w:ascii="宋体" w:hAnsi="宋体" w:cs="宋体"/>
                <w:color w:val="auto"/>
                <w:szCs w:val="21"/>
                <w:highlight w:val="none"/>
              </w:rPr>
            </w:pPr>
          </w:p>
        </w:tc>
        <w:tc>
          <w:tcPr>
            <w:tcW w:w="2551" w:type="dxa"/>
          </w:tcPr>
          <w:p w14:paraId="4C48A444">
            <w:pPr>
              <w:spacing w:line="360" w:lineRule="auto"/>
              <w:rPr>
                <w:rFonts w:ascii="宋体" w:hAnsi="宋体"/>
                <w:b/>
                <w:color w:val="auto"/>
                <w:szCs w:val="21"/>
                <w:highlight w:val="none"/>
              </w:rPr>
            </w:pPr>
          </w:p>
        </w:tc>
        <w:tc>
          <w:tcPr>
            <w:tcW w:w="1418" w:type="dxa"/>
          </w:tcPr>
          <w:p w14:paraId="583C63B8">
            <w:pPr>
              <w:spacing w:line="360" w:lineRule="auto"/>
              <w:rPr>
                <w:rFonts w:ascii="宋体" w:hAnsi="宋体"/>
                <w:b/>
                <w:color w:val="auto"/>
                <w:szCs w:val="21"/>
                <w:highlight w:val="none"/>
              </w:rPr>
            </w:pPr>
          </w:p>
        </w:tc>
        <w:tc>
          <w:tcPr>
            <w:tcW w:w="851" w:type="dxa"/>
          </w:tcPr>
          <w:p w14:paraId="744F9F38">
            <w:pPr>
              <w:spacing w:line="360" w:lineRule="auto"/>
              <w:rPr>
                <w:rFonts w:ascii="宋体" w:hAnsi="宋体"/>
                <w:b/>
                <w:color w:val="auto"/>
                <w:szCs w:val="21"/>
                <w:highlight w:val="none"/>
              </w:rPr>
            </w:pPr>
          </w:p>
        </w:tc>
      </w:tr>
      <w:tr w14:paraId="5892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DDC5ADF">
            <w:pPr>
              <w:spacing w:line="360" w:lineRule="auto"/>
              <w:rPr>
                <w:rFonts w:ascii="宋体" w:hAnsi="宋体"/>
                <w:b/>
                <w:color w:val="auto"/>
                <w:szCs w:val="21"/>
                <w:highlight w:val="none"/>
              </w:rPr>
            </w:pPr>
          </w:p>
        </w:tc>
        <w:tc>
          <w:tcPr>
            <w:tcW w:w="2907" w:type="dxa"/>
          </w:tcPr>
          <w:p w14:paraId="11D8B8EC">
            <w:pPr>
              <w:spacing w:line="360" w:lineRule="auto"/>
              <w:rPr>
                <w:rFonts w:ascii="宋体" w:hAnsi="宋体"/>
                <w:b/>
                <w:color w:val="auto"/>
                <w:szCs w:val="21"/>
                <w:highlight w:val="none"/>
              </w:rPr>
            </w:pPr>
          </w:p>
        </w:tc>
        <w:tc>
          <w:tcPr>
            <w:tcW w:w="2551" w:type="dxa"/>
          </w:tcPr>
          <w:p w14:paraId="289A16F1">
            <w:pPr>
              <w:spacing w:line="360" w:lineRule="auto"/>
              <w:rPr>
                <w:rFonts w:ascii="宋体" w:hAnsi="宋体"/>
                <w:b/>
                <w:color w:val="auto"/>
                <w:szCs w:val="21"/>
                <w:highlight w:val="none"/>
              </w:rPr>
            </w:pPr>
          </w:p>
        </w:tc>
        <w:tc>
          <w:tcPr>
            <w:tcW w:w="1418" w:type="dxa"/>
          </w:tcPr>
          <w:p w14:paraId="0E1C8D29">
            <w:pPr>
              <w:spacing w:line="360" w:lineRule="auto"/>
              <w:rPr>
                <w:rFonts w:ascii="宋体" w:hAnsi="宋体"/>
                <w:b/>
                <w:color w:val="auto"/>
                <w:szCs w:val="21"/>
                <w:highlight w:val="none"/>
              </w:rPr>
            </w:pPr>
          </w:p>
        </w:tc>
        <w:tc>
          <w:tcPr>
            <w:tcW w:w="851" w:type="dxa"/>
          </w:tcPr>
          <w:p w14:paraId="65EB36EC">
            <w:pPr>
              <w:spacing w:line="360" w:lineRule="auto"/>
              <w:rPr>
                <w:rFonts w:ascii="宋体" w:hAnsi="宋体"/>
                <w:b/>
                <w:color w:val="auto"/>
                <w:szCs w:val="21"/>
                <w:highlight w:val="none"/>
              </w:rPr>
            </w:pPr>
          </w:p>
        </w:tc>
      </w:tr>
      <w:tr w14:paraId="7F17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9B08799">
            <w:pPr>
              <w:spacing w:line="360" w:lineRule="auto"/>
              <w:rPr>
                <w:rFonts w:ascii="宋体" w:hAnsi="宋体"/>
                <w:b/>
                <w:color w:val="auto"/>
                <w:szCs w:val="21"/>
                <w:highlight w:val="none"/>
              </w:rPr>
            </w:pPr>
          </w:p>
        </w:tc>
        <w:tc>
          <w:tcPr>
            <w:tcW w:w="2907" w:type="dxa"/>
          </w:tcPr>
          <w:p w14:paraId="5859EFB9">
            <w:pPr>
              <w:spacing w:line="360" w:lineRule="auto"/>
              <w:rPr>
                <w:rFonts w:ascii="宋体" w:hAnsi="宋体"/>
                <w:b/>
                <w:color w:val="auto"/>
                <w:szCs w:val="21"/>
                <w:highlight w:val="none"/>
              </w:rPr>
            </w:pPr>
          </w:p>
        </w:tc>
        <w:tc>
          <w:tcPr>
            <w:tcW w:w="2551" w:type="dxa"/>
          </w:tcPr>
          <w:p w14:paraId="181175C0">
            <w:pPr>
              <w:spacing w:line="360" w:lineRule="auto"/>
              <w:rPr>
                <w:rFonts w:ascii="宋体" w:hAnsi="宋体"/>
                <w:b/>
                <w:color w:val="auto"/>
                <w:szCs w:val="21"/>
                <w:highlight w:val="none"/>
              </w:rPr>
            </w:pPr>
          </w:p>
        </w:tc>
        <w:tc>
          <w:tcPr>
            <w:tcW w:w="1418" w:type="dxa"/>
          </w:tcPr>
          <w:p w14:paraId="272FAB41">
            <w:pPr>
              <w:spacing w:line="360" w:lineRule="auto"/>
              <w:rPr>
                <w:rFonts w:ascii="宋体" w:hAnsi="宋体"/>
                <w:b/>
                <w:color w:val="auto"/>
                <w:szCs w:val="21"/>
                <w:highlight w:val="none"/>
              </w:rPr>
            </w:pPr>
          </w:p>
        </w:tc>
        <w:tc>
          <w:tcPr>
            <w:tcW w:w="851" w:type="dxa"/>
          </w:tcPr>
          <w:p w14:paraId="671A7AB8">
            <w:pPr>
              <w:spacing w:line="360" w:lineRule="auto"/>
              <w:rPr>
                <w:rFonts w:ascii="宋体" w:hAnsi="宋体"/>
                <w:b/>
                <w:color w:val="auto"/>
                <w:szCs w:val="21"/>
                <w:highlight w:val="none"/>
              </w:rPr>
            </w:pPr>
          </w:p>
        </w:tc>
      </w:tr>
      <w:tr w14:paraId="23BD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238ED3DC">
            <w:pPr>
              <w:spacing w:line="360" w:lineRule="auto"/>
              <w:rPr>
                <w:rFonts w:ascii="宋体" w:hAnsi="宋体"/>
                <w:b/>
                <w:color w:val="auto"/>
                <w:szCs w:val="21"/>
                <w:highlight w:val="none"/>
              </w:rPr>
            </w:pPr>
          </w:p>
        </w:tc>
        <w:tc>
          <w:tcPr>
            <w:tcW w:w="2907" w:type="dxa"/>
          </w:tcPr>
          <w:p w14:paraId="7503BB6E">
            <w:pPr>
              <w:spacing w:line="360" w:lineRule="auto"/>
              <w:rPr>
                <w:rFonts w:ascii="宋体" w:hAnsi="宋体"/>
                <w:b/>
                <w:color w:val="auto"/>
                <w:szCs w:val="21"/>
                <w:highlight w:val="none"/>
              </w:rPr>
            </w:pPr>
          </w:p>
        </w:tc>
        <w:tc>
          <w:tcPr>
            <w:tcW w:w="2551" w:type="dxa"/>
          </w:tcPr>
          <w:p w14:paraId="48F78C5B">
            <w:pPr>
              <w:spacing w:line="360" w:lineRule="auto"/>
              <w:rPr>
                <w:rFonts w:ascii="宋体" w:hAnsi="宋体"/>
                <w:b/>
                <w:color w:val="auto"/>
                <w:szCs w:val="21"/>
                <w:highlight w:val="none"/>
              </w:rPr>
            </w:pPr>
          </w:p>
        </w:tc>
        <w:tc>
          <w:tcPr>
            <w:tcW w:w="1418" w:type="dxa"/>
          </w:tcPr>
          <w:p w14:paraId="1CE1C164">
            <w:pPr>
              <w:spacing w:line="360" w:lineRule="auto"/>
              <w:rPr>
                <w:rFonts w:ascii="宋体" w:hAnsi="宋体"/>
                <w:b/>
                <w:color w:val="auto"/>
                <w:szCs w:val="21"/>
                <w:highlight w:val="none"/>
              </w:rPr>
            </w:pPr>
          </w:p>
        </w:tc>
        <w:tc>
          <w:tcPr>
            <w:tcW w:w="851" w:type="dxa"/>
          </w:tcPr>
          <w:p w14:paraId="1F7AD240">
            <w:pPr>
              <w:spacing w:line="360" w:lineRule="auto"/>
              <w:rPr>
                <w:rFonts w:ascii="宋体" w:hAnsi="宋体"/>
                <w:b/>
                <w:color w:val="auto"/>
                <w:szCs w:val="21"/>
                <w:highlight w:val="none"/>
              </w:rPr>
            </w:pPr>
          </w:p>
        </w:tc>
      </w:tr>
      <w:tr w14:paraId="24CA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4644957D">
            <w:pPr>
              <w:spacing w:line="360" w:lineRule="auto"/>
              <w:rPr>
                <w:rFonts w:ascii="宋体" w:hAnsi="宋体"/>
                <w:b/>
                <w:color w:val="auto"/>
                <w:szCs w:val="21"/>
                <w:highlight w:val="none"/>
              </w:rPr>
            </w:pPr>
          </w:p>
        </w:tc>
        <w:tc>
          <w:tcPr>
            <w:tcW w:w="2907" w:type="dxa"/>
          </w:tcPr>
          <w:p w14:paraId="295E0445">
            <w:pPr>
              <w:spacing w:line="360" w:lineRule="auto"/>
              <w:rPr>
                <w:rFonts w:ascii="宋体" w:hAnsi="宋体"/>
                <w:b/>
                <w:color w:val="auto"/>
                <w:szCs w:val="21"/>
                <w:highlight w:val="none"/>
              </w:rPr>
            </w:pPr>
          </w:p>
        </w:tc>
        <w:tc>
          <w:tcPr>
            <w:tcW w:w="2551" w:type="dxa"/>
          </w:tcPr>
          <w:p w14:paraId="151C1659">
            <w:pPr>
              <w:spacing w:line="360" w:lineRule="auto"/>
              <w:rPr>
                <w:rFonts w:ascii="宋体" w:hAnsi="宋体"/>
                <w:b/>
                <w:color w:val="auto"/>
                <w:szCs w:val="21"/>
                <w:highlight w:val="none"/>
              </w:rPr>
            </w:pPr>
          </w:p>
        </w:tc>
        <w:tc>
          <w:tcPr>
            <w:tcW w:w="1418" w:type="dxa"/>
          </w:tcPr>
          <w:p w14:paraId="1FE71431">
            <w:pPr>
              <w:spacing w:line="360" w:lineRule="auto"/>
              <w:rPr>
                <w:rFonts w:ascii="宋体" w:hAnsi="宋体"/>
                <w:b/>
                <w:color w:val="auto"/>
                <w:szCs w:val="21"/>
                <w:highlight w:val="none"/>
              </w:rPr>
            </w:pPr>
          </w:p>
        </w:tc>
        <w:tc>
          <w:tcPr>
            <w:tcW w:w="851" w:type="dxa"/>
          </w:tcPr>
          <w:p w14:paraId="6879F639">
            <w:pPr>
              <w:spacing w:line="360" w:lineRule="auto"/>
              <w:rPr>
                <w:rFonts w:ascii="宋体" w:hAnsi="宋体"/>
                <w:b/>
                <w:color w:val="auto"/>
                <w:szCs w:val="21"/>
                <w:highlight w:val="none"/>
              </w:rPr>
            </w:pPr>
          </w:p>
        </w:tc>
      </w:tr>
    </w:tbl>
    <w:p w14:paraId="2D9D42E9">
      <w:pPr>
        <w:spacing w:line="360" w:lineRule="auto"/>
        <w:rPr>
          <w:rFonts w:ascii="宋体" w:hAnsi="宋体"/>
          <w:color w:val="auto"/>
          <w:szCs w:val="21"/>
          <w:highlight w:val="none"/>
        </w:rPr>
      </w:pPr>
    </w:p>
    <w:p w14:paraId="19DA3CDD">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14:paraId="5645760D">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692DA6EC">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05BB4084">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5121286B">
      <w:pPr>
        <w:snapToGrid w:val="0"/>
        <w:spacing w:line="360" w:lineRule="auto"/>
        <w:rPr>
          <w:rFonts w:ascii="宋体" w:hAnsi="宋体"/>
          <w:color w:val="auto"/>
          <w:szCs w:val="21"/>
          <w:highlight w:val="none"/>
        </w:rPr>
      </w:pPr>
    </w:p>
    <w:p w14:paraId="411516DB">
      <w:pPr>
        <w:snapToGrid w:val="0"/>
        <w:spacing w:line="360" w:lineRule="auto"/>
        <w:rPr>
          <w:rFonts w:hint="eastAsia" w:ascii="宋体" w:hAnsi="宋体"/>
          <w:color w:val="auto"/>
          <w:szCs w:val="21"/>
          <w:highlight w:val="none"/>
        </w:rPr>
      </w:pPr>
    </w:p>
    <w:p w14:paraId="5EF1E1F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14:paraId="360E643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14:paraId="266BD577">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14:paraId="30539FA4">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14:paraId="12107306">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格式十三：</w:t>
      </w:r>
    </w:p>
    <w:p w14:paraId="6F642EE9">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14:paraId="693F2F5B">
      <w:pPr>
        <w:pStyle w:val="8"/>
        <w:spacing w:before="8"/>
        <w:rPr>
          <w:color w:val="auto"/>
          <w:sz w:val="13"/>
          <w:highlight w:val="none"/>
        </w:rPr>
      </w:pPr>
    </w:p>
    <w:p w14:paraId="2C23A440">
      <w:pPr>
        <w:pStyle w:val="3"/>
        <w:rPr>
          <w:color w:val="auto"/>
          <w:highlight w:val="none"/>
        </w:rPr>
      </w:pPr>
      <w:bookmarkStart w:id="247" w:name="_Toc27833"/>
      <w:bookmarkStart w:id="248" w:name="_Toc16713"/>
      <w:bookmarkStart w:id="249" w:name="_Toc10424"/>
      <w:bookmarkStart w:id="250" w:name="_Toc20098"/>
      <w:r>
        <w:rPr>
          <w:color w:val="auto"/>
          <w:highlight w:val="none"/>
        </w:rPr>
        <w:t>履约进度计划表</w:t>
      </w:r>
      <w:bookmarkEnd w:id="247"/>
      <w:bookmarkEnd w:id="248"/>
      <w:bookmarkEnd w:id="249"/>
      <w:bookmarkEnd w:id="250"/>
    </w:p>
    <w:p w14:paraId="791ADB96">
      <w:pPr>
        <w:pStyle w:val="8"/>
        <w:spacing w:before="2" w:after="1"/>
        <w:rPr>
          <w:b/>
          <w:color w:val="auto"/>
          <w:sz w:val="17"/>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34919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3DA417E0">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0" w:type="pct"/>
            <w:shd w:val="clear" w:color="auto" w:fill="FFFFFF" w:themeFill="background1"/>
            <w:vAlign w:val="top"/>
          </w:tcPr>
          <w:p w14:paraId="41BE369E">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拟定时间安排</w:t>
            </w:r>
          </w:p>
        </w:tc>
        <w:tc>
          <w:tcPr>
            <w:tcW w:w="1496" w:type="pct"/>
            <w:shd w:val="clear" w:color="auto" w:fill="FFFFFF" w:themeFill="background1"/>
            <w:vAlign w:val="top"/>
          </w:tcPr>
          <w:p w14:paraId="3A768274">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计划完成的工作内容</w:t>
            </w:r>
          </w:p>
        </w:tc>
        <w:tc>
          <w:tcPr>
            <w:tcW w:w="1354" w:type="pct"/>
            <w:shd w:val="clear" w:color="auto" w:fill="FFFFFF" w:themeFill="background1"/>
            <w:vAlign w:val="top"/>
          </w:tcPr>
          <w:p w14:paraId="49154800">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实施方建议或要求</w:t>
            </w:r>
          </w:p>
        </w:tc>
      </w:tr>
      <w:tr w14:paraId="727F4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2E18EA04">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1700" w:type="pct"/>
            <w:shd w:val="clear" w:color="auto" w:fill="FFFFFF" w:themeFill="background1"/>
            <w:vAlign w:val="top"/>
          </w:tcPr>
          <w:p w14:paraId="334E22C0">
            <w:pPr>
              <w:pStyle w:val="25"/>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00952862">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签定合同并生效</w:t>
            </w:r>
          </w:p>
        </w:tc>
        <w:tc>
          <w:tcPr>
            <w:tcW w:w="1354" w:type="pct"/>
            <w:shd w:val="clear" w:color="auto" w:fill="FFFFFF" w:themeFill="background1"/>
            <w:vAlign w:val="top"/>
          </w:tcPr>
          <w:p w14:paraId="723447C6">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14:paraId="5D0E4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6F9933B5">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1700" w:type="pct"/>
            <w:shd w:val="clear" w:color="auto" w:fill="FFFFFF" w:themeFill="background1"/>
            <w:vAlign w:val="top"/>
          </w:tcPr>
          <w:p w14:paraId="5421899B">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26DA7CD6">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14:paraId="666D6558">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14:paraId="22540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2695F098">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1700" w:type="pct"/>
            <w:shd w:val="clear" w:color="auto" w:fill="FFFFFF" w:themeFill="background1"/>
            <w:vAlign w:val="top"/>
          </w:tcPr>
          <w:p w14:paraId="3A22A597">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1933CF7E">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14:paraId="17D40302">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14:paraId="2D70B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4492AE7A">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1700" w:type="pct"/>
            <w:shd w:val="clear" w:color="auto" w:fill="FFFFFF" w:themeFill="background1"/>
            <w:vAlign w:val="top"/>
          </w:tcPr>
          <w:p w14:paraId="713CF955">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5F7519CC">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354" w:type="pct"/>
            <w:shd w:val="clear" w:color="auto" w:fill="FFFFFF" w:themeFill="background1"/>
            <w:vAlign w:val="top"/>
          </w:tcPr>
          <w:p w14:paraId="378BCE31">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bl>
    <w:p w14:paraId="39786C22">
      <w:pPr>
        <w:rPr>
          <w:rFonts w:hint="eastAsia"/>
          <w:color w:val="auto"/>
          <w:highlight w:val="none"/>
          <w:lang w:val="en-US" w:eastAsia="zh-CN"/>
        </w:rPr>
      </w:pPr>
      <w:r>
        <w:rPr>
          <w:rFonts w:hint="eastAsia"/>
          <w:color w:val="auto"/>
          <w:highlight w:val="none"/>
          <w:lang w:val="en-US" w:eastAsia="zh-CN"/>
        </w:rPr>
        <w:br w:type="page"/>
      </w:r>
    </w:p>
    <w:p w14:paraId="426CBB28">
      <w:pPr>
        <w:outlineLvl w:val="1"/>
        <w:rPr>
          <w:rFonts w:hint="eastAsia"/>
          <w:b/>
          <w:bCs/>
          <w:color w:val="auto"/>
          <w:sz w:val="24"/>
          <w:szCs w:val="32"/>
          <w:highlight w:val="none"/>
          <w:lang w:val="en-US" w:eastAsia="zh-CN"/>
        </w:rPr>
      </w:pPr>
      <w:bookmarkStart w:id="251" w:name="_Toc6564"/>
      <w:bookmarkStart w:id="252" w:name="_Toc7867"/>
      <w:bookmarkStart w:id="253" w:name="_Toc2912"/>
      <w:bookmarkStart w:id="254" w:name="_Toc26415"/>
      <w:r>
        <w:rPr>
          <w:rFonts w:hint="eastAsia"/>
          <w:b/>
          <w:bCs/>
          <w:color w:val="auto"/>
          <w:sz w:val="24"/>
          <w:szCs w:val="32"/>
          <w:highlight w:val="none"/>
          <w:lang w:val="en-US" w:eastAsia="zh-CN"/>
        </w:rPr>
        <w:t>格式十四：</w:t>
      </w:r>
      <w:bookmarkEnd w:id="251"/>
      <w:bookmarkEnd w:id="252"/>
      <w:bookmarkEnd w:id="253"/>
      <w:bookmarkEnd w:id="254"/>
    </w:p>
    <w:p w14:paraId="63C983CC">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14:paraId="0BF9FA07">
      <w:pPr>
        <w:rPr>
          <w:color w:val="auto"/>
          <w:sz w:val="20"/>
          <w:szCs w:val="20"/>
          <w:highlight w:val="none"/>
        </w:rPr>
      </w:pPr>
    </w:p>
    <w:p w14:paraId="54B7D4E6">
      <w:pPr>
        <w:pStyle w:val="8"/>
        <w:jc w:val="center"/>
        <w:rPr>
          <w:b/>
          <w:bCs/>
          <w:color w:val="auto"/>
          <w:highlight w:val="none"/>
        </w:rPr>
      </w:pPr>
      <w:r>
        <w:rPr>
          <w:b/>
          <w:bCs/>
          <w:color w:val="auto"/>
          <w:highlight w:val="none"/>
        </w:rPr>
        <w:t>各类证明材料</w:t>
      </w:r>
    </w:p>
    <w:p w14:paraId="0C5B9698">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255" w:name="_Toc14919"/>
      <w:bookmarkStart w:id="256" w:name="_Toc3338"/>
      <w:bookmarkStart w:id="257" w:name="_Toc3436"/>
      <w:bookmarkStart w:id="258" w:name="_Toc10497"/>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要求提供的其他资料。</w:t>
      </w:r>
      <w:bookmarkEnd w:id="255"/>
      <w:bookmarkEnd w:id="256"/>
      <w:bookmarkEnd w:id="257"/>
      <w:bookmarkEnd w:id="258"/>
    </w:p>
    <w:p w14:paraId="260A3BB3">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259" w:name="_Toc2429"/>
      <w:bookmarkStart w:id="260" w:name="_Toc26572"/>
      <w:bookmarkStart w:id="261" w:name="_Toc26846"/>
      <w:bookmarkStart w:id="262" w:name="_Toc7938"/>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认为需提供的其他资料。</w:t>
      </w:r>
      <w:bookmarkEnd w:id="259"/>
      <w:bookmarkEnd w:id="260"/>
      <w:bookmarkEnd w:id="261"/>
      <w:bookmarkEnd w:id="262"/>
    </w:p>
    <w:p w14:paraId="2FFC99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134B674">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263" w:name="_Toc27193"/>
      <w:bookmarkStart w:id="264" w:name="_Toc2436"/>
      <w:bookmarkStart w:id="265" w:name="_Toc30382"/>
      <w:bookmarkStart w:id="266" w:name="_Toc25195"/>
      <w:r>
        <w:rPr>
          <w:rFonts w:hint="eastAsia" w:ascii="宋体" w:hAnsi="宋体" w:eastAsia="宋体" w:cs="宋体"/>
          <w:b/>
          <w:bCs/>
          <w:color w:val="auto"/>
          <w:sz w:val="24"/>
          <w:szCs w:val="24"/>
          <w:highlight w:val="none"/>
          <w:lang w:eastAsia="zh-CN"/>
        </w:rPr>
        <w:t>格式十五：</w:t>
      </w:r>
      <w:bookmarkEnd w:id="263"/>
      <w:bookmarkEnd w:id="264"/>
      <w:bookmarkEnd w:id="265"/>
      <w:bookmarkEnd w:id="266"/>
    </w:p>
    <w:p w14:paraId="4529C73F">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采购代理服务费支付承诺书</w:t>
      </w:r>
    </w:p>
    <w:p w14:paraId="25BC78BD">
      <w:pPr>
        <w:bidi w:val="0"/>
        <w:rPr>
          <w:rFonts w:hint="eastAsia"/>
          <w:color w:val="auto"/>
          <w:highlight w:val="none"/>
          <w:lang w:eastAsia="zh-CN"/>
        </w:rPr>
      </w:pPr>
    </w:p>
    <w:p w14:paraId="66BE398C">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14:paraId="6F5ADAB6">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如果我方在贵采购代理机构组织的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中获</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r>
        <w:rPr>
          <w:rFonts w:hint="eastAsia" w:ascii="宋体" w:hAnsi="宋体" w:eastAsia="宋体" w:cs="宋体"/>
          <w:color w:val="auto"/>
          <w:sz w:val="21"/>
          <w:szCs w:val="21"/>
          <w:highlight w:val="none"/>
        </w:rPr>
        <w:t>我方保证在收取《</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对代理服务费支付方式的约定，承担本项目代理服务费。</w:t>
      </w:r>
    </w:p>
    <w:p w14:paraId="5B39CC32">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我方如违约，愿凭贵单位开出的违约通知，从我方提交的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中支付，不足部分由采购人在支付我方的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合同款中代为扣付；以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（或保险保函）方式提交</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时，同意和要求</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开立银行或担保机构、保险保函开立的保险机构应</w:t>
      </w:r>
      <w:r>
        <w:rPr>
          <w:rFonts w:hint="eastAsia" w:ascii="宋体" w:hAnsi="宋体" w:eastAsia="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的要求办理支付手续。</w:t>
      </w:r>
    </w:p>
    <w:p w14:paraId="706EE717">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009BCE6F">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14:paraId="4424795A">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lang w:eastAsia="zh-CN"/>
        </w:rPr>
      </w:pPr>
      <w:r>
        <w:rPr>
          <w:rFonts w:hint="eastAsia"/>
          <w:color w:val="auto"/>
          <w:highlight w:val="none"/>
          <w:lang w:eastAsia="zh-CN"/>
        </w:rPr>
        <w:t>供应商</w:t>
      </w:r>
      <w:r>
        <w:rPr>
          <w:rFonts w:hint="eastAsia"/>
          <w:color w:val="auto"/>
          <w:highlight w:val="none"/>
        </w:rPr>
        <w:t>法定名称（公章）</w:t>
      </w:r>
      <w:r>
        <w:rPr>
          <w:rFonts w:hint="eastAsia"/>
          <w:color w:val="auto"/>
          <w:highlight w:val="none"/>
          <w:lang w:eastAsia="zh-CN"/>
        </w:rPr>
        <w:t>：</w:t>
      </w:r>
    </w:p>
    <w:p w14:paraId="69389A8A">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法定地址：</w:t>
      </w:r>
    </w:p>
    <w:p w14:paraId="4C8F7FA0">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授权代表（签字或盖章）：</w:t>
      </w:r>
    </w:p>
    <w:p w14:paraId="1D3739E6">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电 话：</w:t>
      </w:r>
    </w:p>
    <w:p w14:paraId="2D404AE1">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传 真：</w:t>
      </w:r>
    </w:p>
    <w:p w14:paraId="0D3A49BE">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480" w:lineRule="auto"/>
        <w:ind w:left="0" w:leftChars="0" w:right="0" w:firstLine="420" w:firstLineChars="200"/>
        <w:textAlignment w:val="auto"/>
        <w:rPr>
          <w:rFonts w:hint="eastAsia"/>
          <w:color w:val="auto"/>
          <w:highlight w:val="none"/>
        </w:rPr>
      </w:pPr>
      <w:r>
        <w:rPr>
          <w:rFonts w:hint="eastAsia"/>
          <w:color w:val="auto"/>
          <w:highlight w:val="none"/>
        </w:rPr>
        <w:t>承诺日期：</w:t>
      </w:r>
    </w:p>
    <w:p w14:paraId="46C4AB19">
      <w:pPr>
        <w:rPr>
          <w:rFonts w:hint="eastAsia"/>
          <w:color w:val="auto"/>
          <w:highlight w:val="none"/>
        </w:rPr>
      </w:pPr>
      <w:r>
        <w:rPr>
          <w:rFonts w:hint="eastAsia"/>
          <w:color w:val="auto"/>
          <w:highlight w:val="none"/>
        </w:rPr>
        <w:br w:type="page"/>
      </w:r>
    </w:p>
    <w:p w14:paraId="07F5DADE">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267" w:name="_Toc28801"/>
      <w:bookmarkStart w:id="268" w:name="_Toc3970"/>
      <w:bookmarkStart w:id="269" w:name="_Toc32108"/>
      <w:bookmarkStart w:id="270" w:name="_Toc7693"/>
      <w:r>
        <w:rPr>
          <w:rFonts w:hint="eastAsia" w:ascii="宋体" w:hAnsi="宋体" w:eastAsia="宋体" w:cs="宋体"/>
          <w:b/>
          <w:bCs/>
          <w:color w:val="auto"/>
          <w:sz w:val="24"/>
          <w:szCs w:val="24"/>
          <w:highlight w:val="none"/>
          <w:lang w:eastAsia="zh-CN"/>
        </w:rPr>
        <w:t>格式十</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bookmarkEnd w:id="267"/>
      <w:bookmarkEnd w:id="268"/>
      <w:bookmarkEnd w:id="269"/>
      <w:bookmarkEnd w:id="270"/>
    </w:p>
    <w:p w14:paraId="34F83188">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（以下格式文件由</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根据需要选用）</w:t>
      </w:r>
    </w:p>
    <w:p w14:paraId="401BA804">
      <w:pPr>
        <w:pStyle w:val="8"/>
        <w:spacing w:before="8"/>
        <w:rPr>
          <w:rFonts w:hint="eastAsia" w:ascii="宋体" w:hAnsi="宋体" w:eastAsia="宋体" w:cs="宋体"/>
          <w:color w:val="auto"/>
          <w:sz w:val="21"/>
          <w:szCs w:val="21"/>
          <w:highlight w:val="none"/>
        </w:rPr>
      </w:pPr>
    </w:p>
    <w:p w14:paraId="1BF3E06D">
      <w:pPr>
        <w:bidi w:val="0"/>
        <w:jc w:val="center"/>
        <w:outlineLvl w:val="1"/>
        <w:rPr>
          <w:rFonts w:hint="eastAsia" w:ascii="宋体" w:hAnsi="宋体" w:eastAsia="宋体" w:cs="宋体"/>
          <w:b/>
          <w:bCs/>
          <w:color w:val="auto"/>
          <w:sz w:val="21"/>
          <w:szCs w:val="21"/>
          <w:highlight w:val="none"/>
        </w:rPr>
      </w:pPr>
      <w:bookmarkStart w:id="271" w:name="_Toc17430"/>
      <w:bookmarkStart w:id="272" w:name="_Toc31849"/>
      <w:bookmarkStart w:id="273" w:name="_Toc11855"/>
      <w:bookmarkStart w:id="274" w:name="_Toc4401"/>
      <w:r>
        <w:rPr>
          <w:rFonts w:hint="eastAsia" w:ascii="宋体" w:hAnsi="宋体" w:eastAsia="宋体" w:cs="宋体"/>
          <w:b/>
          <w:bCs/>
          <w:color w:val="auto"/>
          <w:sz w:val="21"/>
          <w:szCs w:val="21"/>
          <w:highlight w:val="none"/>
        </w:rPr>
        <w:t>需要</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提供的附加条件</w:t>
      </w:r>
      <w:bookmarkEnd w:id="271"/>
      <w:bookmarkEnd w:id="272"/>
      <w:bookmarkEnd w:id="273"/>
      <w:bookmarkEnd w:id="274"/>
    </w:p>
    <w:p w14:paraId="1300F3D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3B4FD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3C133DC4">
            <w:pPr>
              <w:pStyle w:val="2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5" w:type="pct"/>
            <w:shd w:val="clear" w:color="auto" w:fill="F4F4F4"/>
          </w:tcPr>
          <w:p w14:paraId="1384F86B">
            <w:pPr>
              <w:pStyle w:val="2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需要</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提供的附加条件</w:t>
            </w:r>
          </w:p>
        </w:tc>
      </w:tr>
      <w:tr w14:paraId="46171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D78FAA1">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4215" w:type="pct"/>
          </w:tcPr>
          <w:p w14:paraId="24BFC90D">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621B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E370018">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4215" w:type="pct"/>
          </w:tcPr>
          <w:p w14:paraId="3CFE1ECC">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71AB5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076F936A">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4215" w:type="pct"/>
          </w:tcPr>
          <w:p w14:paraId="6DBD4379">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bl>
    <w:p w14:paraId="55200CF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完成本项目需要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配合或提供的条件必须在上表列出，否则将视为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同意按现有条件完成本项目。如上表所列附加条件含有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不能接受的，将被视为投标</w:t>
      </w:r>
      <w:r>
        <w:rPr>
          <w:b w:val="0"/>
          <w:bCs w:val="0"/>
          <w:color w:val="auto"/>
          <w:sz w:val="21"/>
          <w:szCs w:val="21"/>
          <w:highlight w:val="none"/>
        </w:rPr>
        <w:t>（响应）</w:t>
      </w:r>
      <w:r>
        <w:rPr>
          <w:rFonts w:hint="eastAsia" w:ascii="宋体" w:hAnsi="宋体" w:eastAsia="宋体" w:cs="宋体"/>
          <w:color w:val="auto"/>
          <w:sz w:val="21"/>
          <w:szCs w:val="21"/>
          <w:highlight w:val="none"/>
        </w:rPr>
        <w:t>无效。</w:t>
      </w:r>
    </w:p>
    <w:p w14:paraId="4DD7C833">
      <w:pPr>
        <w:rPr>
          <w:color w:val="auto"/>
          <w:sz w:val="20"/>
          <w:szCs w:val="20"/>
          <w:highlight w:val="none"/>
        </w:rPr>
      </w:pPr>
      <w:r>
        <w:rPr>
          <w:color w:val="auto"/>
          <w:sz w:val="20"/>
          <w:szCs w:val="20"/>
          <w:highlight w:val="none"/>
        </w:rPr>
        <w:br w:type="page"/>
      </w:r>
    </w:p>
    <w:p w14:paraId="0F39DE34">
      <w:pPr>
        <w:pStyle w:val="8"/>
        <w:outlineLvl w:val="1"/>
        <w:rPr>
          <w:rFonts w:hint="eastAsia"/>
          <w:b/>
          <w:bCs/>
          <w:color w:val="auto"/>
          <w:highlight w:val="none"/>
          <w:lang w:val="en-US" w:eastAsia="zh-CN"/>
        </w:rPr>
      </w:pPr>
      <w:bookmarkStart w:id="275" w:name="_Toc25747"/>
      <w:bookmarkStart w:id="276" w:name="_Toc29916"/>
      <w:bookmarkStart w:id="277" w:name="_Toc29664"/>
      <w:bookmarkStart w:id="278" w:name="_Toc2879"/>
      <w:r>
        <w:rPr>
          <w:rFonts w:hint="eastAsia"/>
          <w:b/>
          <w:bCs/>
          <w:color w:val="auto"/>
          <w:highlight w:val="none"/>
          <w:lang w:val="en-US" w:eastAsia="zh-CN"/>
        </w:rPr>
        <w:t>格式十七：</w:t>
      </w:r>
      <w:bookmarkEnd w:id="275"/>
      <w:bookmarkEnd w:id="276"/>
      <w:bookmarkEnd w:id="277"/>
      <w:bookmarkEnd w:id="278"/>
    </w:p>
    <w:p w14:paraId="78BDF7D8">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lang w:eastAsia="zh-CN"/>
        </w:rPr>
        <w:t>供应商</w:t>
      </w:r>
      <w:r>
        <w:rPr>
          <w:color w:val="auto"/>
          <w:sz w:val="21"/>
          <w:szCs w:val="21"/>
          <w:highlight w:val="none"/>
        </w:rPr>
        <w:t>根据需要选用）</w:t>
      </w:r>
    </w:p>
    <w:p w14:paraId="417E27FE">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646F1F1C">
      <w:pPr>
        <w:rPr>
          <w:color w:val="auto"/>
          <w:sz w:val="21"/>
          <w:szCs w:val="21"/>
          <w:highlight w:val="none"/>
        </w:rPr>
      </w:pPr>
      <w:r>
        <w:rPr>
          <w:color w:val="auto"/>
          <w:sz w:val="21"/>
          <w:szCs w:val="21"/>
          <w:highlight w:val="none"/>
        </w:rPr>
        <w:br w:type="page"/>
      </w:r>
    </w:p>
    <w:p w14:paraId="17A07B73">
      <w:pPr>
        <w:pStyle w:val="2"/>
        <w:bidi w:val="0"/>
        <w:rPr>
          <w:rFonts w:hint="eastAsia"/>
          <w:color w:val="auto"/>
          <w:highlight w:val="none"/>
          <w:lang w:val="en-US" w:eastAsia="zh-CN"/>
        </w:rPr>
      </w:pPr>
      <w:bookmarkStart w:id="279" w:name="_Toc12503"/>
      <w:r>
        <w:rPr>
          <w:rFonts w:hint="eastAsia"/>
          <w:color w:val="auto"/>
          <w:highlight w:val="none"/>
          <w:lang w:eastAsia="zh-CN"/>
        </w:rPr>
        <w:t>第七篇</w:t>
      </w:r>
      <w:r>
        <w:rPr>
          <w:rFonts w:hint="eastAsia"/>
          <w:color w:val="auto"/>
          <w:highlight w:val="none"/>
          <w:lang w:val="en-US" w:eastAsia="zh-CN"/>
        </w:rPr>
        <w:t xml:space="preserve"> 报价文件格式</w:t>
      </w:r>
      <w:bookmarkEnd w:id="279"/>
    </w:p>
    <w:p w14:paraId="29C16FDA">
      <w:pPr>
        <w:jc w:val="center"/>
        <w:outlineLvl w:val="1"/>
        <w:rPr>
          <w:rFonts w:hint="eastAsia"/>
          <w:b/>
          <w:bCs/>
          <w:color w:val="auto"/>
          <w:highlight w:val="none"/>
          <w:lang w:val="en-US" w:eastAsia="zh-CN"/>
        </w:rPr>
      </w:pPr>
      <w:bookmarkStart w:id="280" w:name="_Toc23654"/>
      <w:bookmarkStart w:id="281" w:name="_Toc11568"/>
      <w:bookmarkStart w:id="282" w:name="_Toc32249"/>
      <w:bookmarkStart w:id="283" w:name="_Toc29643"/>
      <w:r>
        <w:rPr>
          <w:rFonts w:hint="eastAsia"/>
          <w:b/>
          <w:bCs/>
          <w:color w:val="auto"/>
          <w:highlight w:val="none"/>
          <w:lang w:val="en-US" w:eastAsia="zh-CN"/>
        </w:rPr>
        <w:t>（封面格式仅供参考）</w:t>
      </w:r>
      <w:bookmarkEnd w:id="280"/>
      <w:bookmarkEnd w:id="281"/>
      <w:bookmarkEnd w:id="282"/>
      <w:bookmarkEnd w:id="283"/>
    </w:p>
    <w:p w14:paraId="1B02CE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32CD9C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076D2C8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46867B39">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284" w:name="_Toc24898"/>
      <w:bookmarkStart w:id="285" w:name="_Toc10015"/>
      <w:bookmarkStart w:id="286" w:name="_Toc31076"/>
      <w:bookmarkStart w:id="287" w:name="_Toc5561"/>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284"/>
      <w:bookmarkEnd w:id="285"/>
      <w:bookmarkEnd w:id="286"/>
      <w:bookmarkEnd w:id="287"/>
    </w:p>
    <w:p w14:paraId="174E944A">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14:paraId="427BDCAD">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88" w:name="_Toc14351"/>
      <w:bookmarkStart w:id="289" w:name="_Toc77"/>
      <w:bookmarkStart w:id="290" w:name="_Toc28515"/>
      <w:bookmarkStart w:id="291"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288"/>
      <w:bookmarkEnd w:id="289"/>
      <w:bookmarkEnd w:id="290"/>
      <w:bookmarkEnd w:id="291"/>
    </w:p>
    <w:p w14:paraId="05CBFC39">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p>
    <w:p w14:paraId="2365D2F1">
      <w:pPr>
        <w:widowControl w:val="0"/>
        <w:autoSpaceDE w:val="0"/>
        <w:autoSpaceDN w:val="0"/>
        <w:jc w:val="center"/>
        <w:rPr>
          <w:rFonts w:ascii="宋体" w:hAnsi="宋体" w:eastAsia="宋体" w:cs="宋体"/>
          <w:b/>
          <w:color w:val="auto"/>
          <w:sz w:val="28"/>
          <w:szCs w:val="19"/>
          <w:highlight w:val="none"/>
          <w:lang w:val="zh-CN" w:eastAsia="zh-CN" w:bidi="zh-CN"/>
        </w:rPr>
      </w:pPr>
    </w:p>
    <w:p w14:paraId="7A817765">
      <w:pPr>
        <w:widowControl w:val="0"/>
        <w:autoSpaceDE w:val="0"/>
        <w:autoSpaceDN w:val="0"/>
        <w:jc w:val="center"/>
        <w:rPr>
          <w:rFonts w:ascii="宋体" w:hAnsi="宋体" w:eastAsia="宋体" w:cs="宋体"/>
          <w:b/>
          <w:color w:val="auto"/>
          <w:sz w:val="28"/>
          <w:szCs w:val="19"/>
          <w:highlight w:val="none"/>
          <w:lang w:val="zh-CN" w:eastAsia="zh-CN" w:bidi="zh-CN"/>
        </w:rPr>
      </w:pPr>
    </w:p>
    <w:p w14:paraId="228AC927">
      <w:pPr>
        <w:widowControl w:val="0"/>
        <w:autoSpaceDE w:val="0"/>
        <w:autoSpaceDN w:val="0"/>
        <w:jc w:val="center"/>
        <w:rPr>
          <w:rFonts w:ascii="宋体" w:hAnsi="宋体" w:eastAsia="宋体" w:cs="宋体"/>
          <w:b/>
          <w:color w:val="auto"/>
          <w:sz w:val="28"/>
          <w:szCs w:val="19"/>
          <w:highlight w:val="none"/>
          <w:lang w:val="zh-CN" w:eastAsia="zh-CN" w:bidi="zh-CN"/>
        </w:rPr>
      </w:pPr>
    </w:p>
    <w:p w14:paraId="17343E82">
      <w:pPr>
        <w:widowControl w:val="0"/>
        <w:autoSpaceDE w:val="0"/>
        <w:autoSpaceDN w:val="0"/>
        <w:jc w:val="center"/>
        <w:rPr>
          <w:rFonts w:ascii="宋体" w:hAnsi="宋体" w:eastAsia="宋体" w:cs="宋体"/>
          <w:b/>
          <w:color w:val="auto"/>
          <w:sz w:val="28"/>
          <w:szCs w:val="19"/>
          <w:highlight w:val="none"/>
          <w:lang w:val="zh-CN" w:eastAsia="zh-CN" w:bidi="zh-CN"/>
        </w:rPr>
      </w:pPr>
    </w:p>
    <w:p w14:paraId="1E6FEF34">
      <w:pPr>
        <w:widowControl w:val="0"/>
        <w:autoSpaceDE w:val="0"/>
        <w:autoSpaceDN w:val="0"/>
        <w:jc w:val="center"/>
        <w:rPr>
          <w:rFonts w:ascii="宋体" w:hAnsi="宋体" w:eastAsia="宋体" w:cs="宋体"/>
          <w:b/>
          <w:color w:val="auto"/>
          <w:sz w:val="28"/>
          <w:szCs w:val="19"/>
          <w:highlight w:val="none"/>
          <w:lang w:val="zh-CN" w:eastAsia="zh-CN" w:bidi="zh-CN"/>
        </w:rPr>
      </w:pPr>
    </w:p>
    <w:p w14:paraId="2E2ED653">
      <w:pPr>
        <w:widowControl w:val="0"/>
        <w:autoSpaceDE w:val="0"/>
        <w:autoSpaceDN w:val="0"/>
        <w:jc w:val="center"/>
        <w:rPr>
          <w:rFonts w:ascii="宋体" w:hAnsi="宋体" w:eastAsia="宋体" w:cs="宋体"/>
          <w:b/>
          <w:color w:val="auto"/>
          <w:sz w:val="28"/>
          <w:szCs w:val="19"/>
          <w:highlight w:val="none"/>
          <w:lang w:val="zh-CN" w:eastAsia="zh-CN" w:bidi="zh-CN"/>
        </w:rPr>
      </w:pPr>
    </w:p>
    <w:p w14:paraId="63C52EC2">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14:paraId="19A5BFE1">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734E903E">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3FD5F0DA">
      <w:pPr>
        <w:widowControl w:val="0"/>
        <w:autoSpaceDE w:val="0"/>
        <w:autoSpaceDN w:val="0"/>
        <w:jc w:val="center"/>
        <w:rPr>
          <w:rFonts w:ascii="宋体" w:hAnsi="宋体" w:eastAsia="宋体" w:cs="宋体"/>
          <w:b/>
          <w:color w:val="auto"/>
          <w:sz w:val="24"/>
          <w:szCs w:val="19"/>
          <w:highlight w:val="none"/>
          <w:lang w:val="zh-CN" w:eastAsia="zh-CN" w:bidi="zh-CN"/>
        </w:rPr>
      </w:pPr>
    </w:p>
    <w:p w14:paraId="323FEAE1">
      <w:pPr>
        <w:widowControl w:val="0"/>
        <w:autoSpaceDE w:val="0"/>
        <w:autoSpaceDN w:val="0"/>
        <w:jc w:val="center"/>
        <w:rPr>
          <w:rFonts w:ascii="宋体" w:hAnsi="宋体" w:eastAsia="宋体" w:cs="宋体"/>
          <w:b/>
          <w:color w:val="auto"/>
          <w:sz w:val="24"/>
          <w:szCs w:val="19"/>
          <w:highlight w:val="none"/>
          <w:lang w:val="zh-CN" w:eastAsia="zh-CN" w:bidi="zh-CN"/>
        </w:rPr>
      </w:pPr>
    </w:p>
    <w:p w14:paraId="0B542C89">
      <w:pPr>
        <w:widowControl w:val="0"/>
        <w:autoSpaceDE w:val="0"/>
        <w:autoSpaceDN w:val="0"/>
        <w:jc w:val="center"/>
        <w:rPr>
          <w:rFonts w:ascii="宋体" w:hAnsi="宋体" w:eastAsia="宋体" w:cs="宋体"/>
          <w:b/>
          <w:color w:val="auto"/>
          <w:sz w:val="24"/>
          <w:szCs w:val="19"/>
          <w:highlight w:val="none"/>
          <w:lang w:val="zh-CN" w:eastAsia="zh-CN" w:bidi="zh-CN"/>
        </w:rPr>
      </w:pPr>
    </w:p>
    <w:p w14:paraId="5DF2C0BB">
      <w:pPr>
        <w:widowControl w:val="0"/>
        <w:autoSpaceDE w:val="0"/>
        <w:autoSpaceDN w:val="0"/>
        <w:jc w:val="center"/>
        <w:rPr>
          <w:rFonts w:ascii="宋体" w:hAnsi="宋体" w:eastAsia="宋体" w:cs="宋体"/>
          <w:b/>
          <w:color w:val="auto"/>
          <w:sz w:val="24"/>
          <w:szCs w:val="19"/>
          <w:highlight w:val="none"/>
          <w:lang w:val="zh-CN" w:eastAsia="zh-CN" w:bidi="zh-CN"/>
        </w:rPr>
      </w:pPr>
    </w:p>
    <w:p w14:paraId="584F8BE7">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2CBF117B">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14:paraId="7B6A9A5C">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7FB70169">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报价文件</w:t>
      </w:r>
      <w:r>
        <w:rPr>
          <w:rFonts w:hint="eastAsia" w:ascii="宋体" w:hAnsi="宋体" w:eastAsia="宋体" w:cs="宋体"/>
          <w:b/>
          <w:bCs/>
          <w:color w:val="auto"/>
          <w:sz w:val="21"/>
          <w:szCs w:val="21"/>
          <w:highlight w:val="none"/>
          <w:lang w:val="en-US" w:eastAsia="zh-CN"/>
        </w:rPr>
        <w:t>包括：</w:t>
      </w:r>
    </w:p>
    <w:p w14:paraId="417AB0EB">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292" w:name="_Toc24484"/>
      <w:bookmarkStart w:id="293" w:name="_Toc32100"/>
      <w:bookmarkStart w:id="294" w:name="_Toc7980"/>
      <w:bookmarkStart w:id="295" w:name="_Toc31505"/>
      <w:r>
        <w:rPr>
          <w:rFonts w:hint="eastAsia" w:ascii="宋体" w:hAnsi="宋体" w:eastAsia="宋体" w:cs="宋体"/>
          <w:b/>
          <w:bCs/>
          <w:color w:val="auto"/>
          <w:sz w:val="21"/>
          <w:szCs w:val="21"/>
          <w:highlight w:val="none"/>
          <w:lang w:val="en-US" w:eastAsia="zh-CN"/>
        </w:rPr>
        <w:t>1、</w:t>
      </w:r>
      <w:bookmarkEnd w:id="292"/>
      <w:bookmarkEnd w:id="293"/>
      <w:bookmarkEnd w:id="294"/>
      <w:bookmarkEnd w:id="295"/>
      <w:r>
        <w:rPr>
          <w:rFonts w:hint="eastAsia" w:cs="宋体"/>
          <w:b/>
          <w:bCs/>
          <w:color w:val="auto"/>
          <w:sz w:val="21"/>
          <w:szCs w:val="21"/>
          <w:highlight w:val="none"/>
          <w:lang w:val="en-US" w:eastAsia="zh-CN"/>
        </w:rPr>
        <w:t>首轮报价表</w:t>
      </w:r>
    </w:p>
    <w:p w14:paraId="578637D7">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296" w:name="_Toc29661"/>
      <w:bookmarkStart w:id="297" w:name="_Toc6563"/>
      <w:bookmarkStart w:id="298" w:name="_Toc20806"/>
      <w:bookmarkStart w:id="299" w:name="_Toc8054"/>
      <w:r>
        <w:rPr>
          <w:rFonts w:hint="eastAsia" w:ascii="宋体" w:hAnsi="宋体" w:eastAsia="宋体" w:cs="宋体"/>
          <w:b/>
          <w:bCs/>
          <w:color w:val="auto"/>
          <w:sz w:val="21"/>
          <w:szCs w:val="21"/>
          <w:highlight w:val="none"/>
          <w:lang w:val="en-US" w:eastAsia="zh-CN"/>
        </w:rPr>
        <w:t>2、分项报价表</w:t>
      </w:r>
      <w:bookmarkEnd w:id="296"/>
      <w:bookmarkEnd w:id="297"/>
      <w:bookmarkEnd w:id="298"/>
      <w:bookmarkEnd w:id="299"/>
    </w:p>
    <w:p w14:paraId="06A51DFF">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00" w:name="_Toc20631"/>
      <w:bookmarkStart w:id="301" w:name="_Toc5011"/>
      <w:bookmarkStart w:id="302" w:name="_Toc13609"/>
      <w:bookmarkStart w:id="303" w:name="_Toc3142"/>
      <w:r>
        <w:rPr>
          <w:rFonts w:hint="eastAsia" w:ascii="宋体" w:hAnsi="宋体" w:eastAsia="宋体" w:cs="宋体"/>
          <w:b/>
          <w:bCs/>
          <w:color w:val="auto"/>
          <w:sz w:val="21"/>
          <w:szCs w:val="21"/>
          <w:highlight w:val="none"/>
          <w:lang w:val="en-US" w:eastAsia="zh-CN"/>
        </w:rPr>
        <w:t>3、法定代表人证明书</w:t>
      </w:r>
      <w:bookmarkEnd w:id="300"/>
      <w:bookmarkEnd w:id="301"/>
      <w:bookmarkEnd w:id="302"/>
      <w:bookmarkEnd w:id="303"/>
    </w:p>
    <w:p w14:paraId="4A3E3DA0">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04" w:name="_Toc31054"/>
      <w:bookmarkStart w:id="305" w:name="_Toc17346"/>
      <w:bookmarkStart w:id="306" w:name="_Toc31223"/>
      <w:bookmarkStart w:id="307" w:name="_Toc27439"/>
      <w:r>
        <w:rPr>
          <w:rFonts w:hint="eastAsia" w:ascii="宋体" w:hAnsi="宋体" w:eastAsia="宋体" w:cs="宋体"/>
          <w:b/>
          <w:bCs/>
          <w:color w:val="auto"/>
          <w:sz w:val="21"/>
          <w:szCs w:val="21"/>
          <w:highlight w:val="none"/>
          <w:lang w:val="en-US" w:eastAsia="zh-CN"/>
        </w:rPr>
        <w:t>4、法定代表人授权书</w:t>
      </w:r>
      <w:bookmarkEnd w:id="304"/>
      <w:bookmarkEnd w:id="305"/>
      <w:bookmarkEnd w:id="306"/>
      <w:bookmarkEnd w:id="307"/>
    </w:p>
    <w:p w14:paraId="2C38AED5">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08" w:name="_Toc16304"/>
      <w:bookmarkStart w:id="309" w:name="_Toc20213"/>
      <w:bookmarkStart w:id="310" w:name="_Toc23814"/>
      <w:bookmarkStart w:id="311" w:name="_Toc29210"/>
      <w:r>
        <w:rPr>
          <w:rFonts w:hint="eastAsia" w:ascii="宋体" w:hAnsi="宋体" w:eastAsia="宋体" w:cs="宋体"/>
          <w:b/>
          <w:bCs/>
          <w:color w:val="auto"/>
          <w:sz w:val="21"/>
          <w:szCs w:val="21"/>
          <w:highlight w:val="none"/>
          <w:lang w:val="en-US" w:eastAsia="zh-CN"/>
        </w:rPr>
        <w:t>5、</w:t>
      </w:r>
      <w:bookmarkEnd w:id="308"/>
      <w:r>
        <w:rPr>
          <w:rFonts w:hint="eastAsia" w:ascii="宋体" w:hAnsi="宋体" w:cs="宋体"/>
          <w:b/>
          <w:bCs/>
          <w:color w:val="auto"/>
          <w:sz w:val="21"/>
          <w:szCs w:val="21"/>
          <w:highlight w:val="none"/>
          <w:lang w:val="en-US" w:eastAsia="zh-CN"/>
        </w:rPr>
        <w:t>响应保证金</w:t>
      </w:r>
      <w:bookmarkEnd w:id="309"/>
      <w:bookmarkEnd w:id="310"/>
      <w:bookmarkEnd w:id="311"/>
    </w:p>
    <w:p w14:paraId="12FF94C3">
      <w:pPr>
        <w:rPr>
          <w:rFonts w:hint="eastAsia"/>
          <w:color w:val="auto"/>
          <w:highlight w:val="none"/>
          <w:lang w:val="en-US" w:eastAsia="zh-CN"/>
        </w:rPr>
      </w:pPr>
    </w:p>
    <w:p w14:paraId="35EFB2E4">
      <w:pPr>
        <w:pStyle w:val="8"/>
        <w:rPr>
          <w:rFonts w:hint="eastAsia"/>
          <w:color w:val="auto"/>
          <w:highlight w:val="none"/>
          <w:lang w:val="en-US" w:eastAsia="zh-CN"/>
        </w:rPr>
      </w:pPr>
    </w:p>
    <w:p w14:paraId="7CFFE3B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color w:val="auto"/>
          <w:sz w:val="21"/>
          <w:szCs w:val="21"/>
          <w:highlight w:val="none"/>
          <w:lang w:eastAsia="zh-CN"/>
        </w:rPr>
        <w:t>首轮报价表</w:t>
      </w:r>
      <w:r>
        <w:rPr>
          <w:rFonts w:hint="eastAsia" w:ascii="宋体" w:hAnsi="宋体" w:eastAsia="宋体"/>
          <w:color w:val="auto"/>
          <w:sz w:val="21"/>
          <w:szCs w:val="21"/>
          <w:highlight w:val="none"/>
        </w:rPr>
        <w:t>、分项报价表</w:t>
      </w:r>
      <w:r>
        <w:rPr>
          <w:rFonts w:hint="eastAsia" w:ascii="宋体" w:hAnsi="宋体" w:eastAsia="宋体"/>
          <w:color w:val="auto"/>
          <w:sz w:val="21"/>
          <w:szCs w:val="21"/>
          <w:highlight w:val="none"/>
          <w:lang w:eastAsia="zh-CN"/>
        </w:rPr>
        <w:t>、法人代表证明书、法定代表人授权书（法人</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无需提交授权书）、</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（加盖公章）</w:t>
      </w:r>
      <w:r>
        <w:rPr>
          <w:rFonts w:hint="eastAsia" w:ascii="宋体" w:hAnsi="宋体" w:eastAsia="宋体"/>
          <w:color w:val="auto"/>
          <w:sz w:val="21"/>
          <w:szCs w:val="21"/>
          <w:highlight w:val="none"/>
          <w:lang w:eastAsia="zh-CN"/>
        </w:rPr>
        <w:t>和</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正本相同（1份）。</w:t>
      </w:r>
    </w:p>
    <w:p w14:paraId="028521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采用担保函形式的，则无需密封在“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需在开标时间截止前将原件提交至</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14:paraId="65768FD1">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14:paraId="61282BEC">
      <w:pPr>
        <w:pStyle w:val="2"/>
        <w:bidi w:val="0"/>
        <w:rPr>
          <w:rFonts w:hint="eastAsia"/>
          <w:color w:val="auto"/>
          <w:highlight w:val="none"/>
          <w:lang w:val="en-US" w:eastAsia="zh-CN"/>
        </w:rPr>
      </w:pPr>
      <w:bookmarkStart w:id="312" w:name="_Toc30888"/>
      <w:r>
        <w:rPr>
          <w:rFonts w:hint="eastAsia"/>
          <w:color w:val="auto"/>
          <w:highlight w:val="none"/>
          <w:lang w:val="en-US" w:eastAsia="zh-CN"/>
        </w:rPr>
        <w:t>第八篇 其它文件格式（如有需要）</w:t>
      </w:r>
      <w:bookmarkEnd w:id="312"/>
    </w:p>
    <w:p w14:paraId="6E82E21A">
      <w:pPr>
        <w:rPr>
          <w:rFonts w:hint="eastAsia"/>
          <w:b/>
          <w:bCs/>
          <w:color w:val="auto"/>
          <w:highlight w:val="none"/>
          <w:lang w:val="en-US" w:eastAsia="zh-CN"/>
        </w:rPr>
      </w:pPr>
      <w:r>
        <w:rPr>
          <w:rFonts w:hint="eastAsia"/>
          <w:b/>
          <w:bCs/>
          <w:color w:val="auto"/>
          <w:highlight w:val="none"/>
          <w:lang w:val="en-US" w:eastAsia="zh-CN"/>
        </w:rPr>
        <w:t>格式一：</w:t>
      </w:r>
    </w:p>
    <w:p w14:paraId="6E0A9EE8">
      <w:pPr>
        <w:bidi w:val="0"/>
        <w:jc w:val="center"/>
        <w:rPr>
          <w:b/>
          <w:bCs/>
          <w:color w:val="auto"/>
          <w:highlight w:val="none"/>
        </w:rPr>
      </w:pPr>
      <w:r>
        <w:rPr>
          <w:b/>
          <w:bCs/>
          <w:color w:val="auto"/>
          <w:highlight w:val="none"/>
        </w:rPr>
        <w:t>询问函、质疑函格式</w:t>
      </w:r>
    </w:p>
    <w:p w14:paraId="68546EE0">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说明：本部分格式为</w:t>
      </w:r>
      <w:r>
        <w:rPr>
          <w:rFonts w:hint="eastAsia"/>
          <w:color w:val="auto"/>
          <w:sz w:val="21"/>
          <w:szCs w:val="21"/>
          <w:highlight w:val="none"/>
          <w:lang w:eastAsia="zh-CN"/>
        </w:rPr>
        <w:t>供应商</w:t>
      </w:r>
      <w:r>
        <w:rPr>
          <w:color w:val="auto"/>
          <w:sz w:val="21"/>
          <w:szCs w:val="21"/>
          <w:highlight w:val="none"/>
        </w:rPr>
        <w:t>提交询问函、质疑函时使用，不属于</w:t>
      </w:r>
      <w:r>
        <w:rPr>
          <w:rFonts w:hint="eastAsia"/>
          <w:color w:val="auto"/>
          <w:sz w:val="21"/>
          <w:szCs w:val="21"/>
          <w:highlight w:val="none"/>
          <w:lang w:eastAsia="zh-CN"/>
        </w:rPr>
        <w:t>响应文件</w:t>
      </w:r>
      <w:r>
        <w:rPr>
          <w:color w:val="auto"/>
          <w:sz w:val="21"/>
          <w:szCs w:val="21"/>
          <w:highlight w:val="none"/>
        </w:rPr>
        <w:t>格式的组成部分。</w:t>
      </w:r>
    </w:p>
    <w:p w14:paraId="784EF8EA">
      <w:pPr>
        <w:bidi w:val="0"/>
        <w:jc w:val="center"/>
        <w:rPr>
          <w:b/>
          <w:bCs/>
          <w:color w:val="auto"/>
          <w:highlight w:val="none"/>
        </w:rPr>
      </w:pPr>
      <w:r>
        <w:rPr>
          <w:b/>
          <w:bCs/>
          <w:color w:val="auto"/>
          <w:highlight w:val="none"/>
        </w:rPr>
        <w:t>询问函</w:t>
      </w:r>
    </w:p>
    <w:p w14:paraId="523EABB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rFonts w:hint="eastAsia"/>
          <w:color w:val="auto"/>
          <w:sz w:val="21"/>
          <w:szCs w:val="21"/>
          <w:highlight w:val="none"/>
          <w:lang w:eastAsia="zh-CN"/>
        </w:rPr>
        <w:t>国顺招标有限</w:t>
      </w:r>
      <w:r>
        <w:rPr>
          <w:color w:val="auto"/>
          <w:sz w:val="21"/>
          <w:szCs w:val="21"/>
          <w:highlight w:val="none"/>
        </w:rPr>
        <w:t>公司</w:t>
      </w:r>
    </w:p>
    <w:p w14:paraId="5F6B5942">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eastAsia="zh-CN"/>
        </w:rPr>
        <w:t xml:space="preserve">    </w:t>
      </w:r>
      <w:r>
        <w:rPr>
          <w:color w:val="auto"/>
          <w:sz w:val="21"/>
          <w:szCs w:val="21"/>
          <w:highlight w:val="none"/>
        </w:rPr>
        <w:t>项目（项目编号：</w:t>
      </w:r>
      <w:r>
        <w:rPr>
          <w:rFonts w:hint="eastAsia"/>
          <w:color w:val="auto"/>
          <w:sz w:val="21"/>
          <w:szCs w:val="21"/>
          <w:highlight w:val="none"/>
          <w:u w:val="single"/>
          <w:lang w:val="en-US" w:eastAsia="zh-CN"/>
        </w:rPr>
        <w:t xml:space="preserve">    </w:t>
      </w:r>
      <w:r>
        <w:rPr>
          <w:color w:val="auto"/>
          <w:sz w:val="21"/>
          <w:szCs w:val="21"/>
          <w:highlight w:val="none"/>
        </w:rPr>
        <w:t>）的</w:t>
      </w:r>
      <w:r>
        <w:rPr>
          <w:rFonts w:hint="eastAsia"/>
          <w:color w:val="auto"/>
          <w:sz w:val="21"/>
          <w:szCs w:val="21"/>
          <w:highlight w:val="none"/>
          <w:lang w:val="en-US" w:eastAsia="zh-CN"/>
        </w:rPr>
        <w:t>响应</w:t>
      </w:r>
      <w:r>
        <w:rPr>
          <w:color w:val="auto"/>
          <w:sz w:val="21"/>
          <w:szCs w:val="21"/>
          <w:highlight w:val="none"/>
        </w:rPr>
        <w:t>活动，现有以下几个内容（或条款）存在疑问（或无法理解），特提出询问。</w:t>
      </w:r>
    </w:p>
    <w:p w14:paraId="166898E0">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7DA631FC">
      <w:pPr>
        <w:pStyle w:val="23"/>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1</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（问题或条款内容）</w:t>
      </w:r>
    </w:p>
    <w:p w14:paraId="2247BF83">
      <w:pPr>
        <w:pStyle w:val="23"/>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2</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（说明疑问或无法理解原因）</w:t>
      </w:r>
    </w:p>
    <w:p w14:paraId="3D2ACB8C">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（建议） </w:t>
      </w:r>
    </w:p>
    <w:p w14:paraId="2774EF33">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（事项二</w:t>
      </w:r>
      <w:r>
        <w:rPr>
          <w:rFonts w:hint="eastAsia" w:ascii="宋体" w:hAnsi="宋体" w:eastAsia="宋体" w:cs="宋体"/>
          <w:color w:val="auto"/>
          <w:spacing w:val="-17"/>
          <w:sz w:val="21"/>
          <w:szCs w:val="21"/>
          <w:highlight w:val="none"/>
        </w:rPr>
        <w:t>）</w:t>
      </w:r>
    </w:p>
    <w:p w14:paraId="33F3323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14" w:firstLineChars="200"/>
        <w:jc w:val="left"/>
        <w:textAlignment w:val="auto"/>
        <w:rPr>
          <w:color w:val="auto"/>
          <w:sz w:val="21"/>
          <w:szCs w:val="21"/>
          <w:highlight w:val="none"/>
        </w:rPr>
      </w:pPr>
      <w:r>
        <w:rPr>
          <w:color w:val="auto"/>
          <w:w w:val="75"/>
          <w:sz w:val="21"/>
          <w:szCs w:val="21"/>
          <w:highlight w:val="none"/>
        </w:rPr>
        <w:t>...</w:t>
      </w:r>
    </w:p>
    <w:p w14:paraId="75F4F3F1">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随附相关证明材料如下：（目录）</w:t>
      </w:r>
    </w:p>
    <w:p w14:paraId="243B9442">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p>
    <w:p w14:paraId="1BD0C167">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询问人（公章）：</w:t>
      </w:r>
    </w:p>
    <w:p w14:paraId="5BECEBA3">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法定代表人或授权代表（签字或盖章）：</w:t>
      </w:r>
    </w:p>
    <w:p w14:paraId="07409A1D">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地址/邮编：</w:t>
      </w:r>
    </w:p>
    <w:p w14:paraId="29701CA4">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电话/传真：</w:t>
      </w:r>
    </w:p>
    <w:p w14:paraId="769C6963">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日期： 年 月 日</w:t>
      </w:r>
    </w:p>
    <w:p w14:paraId="56C9B4B2">
      <w:pPr>
        <w:rPr>
          <w:color w:val="auto"/>
          <w:sz w:val="21"/>
          <w:szCs w:val="21"/>
          <w:highlight w:val="none"/>
        </w:rPr>
      </w:pPr>
      <w:r>
        <w:rPr>
          <w:color w:val="auto"/>
          <w:sz w:val="21"/>
          <w:szCs w:val="21"/>
          <w:highlight w:val="none"/>
        </w:rPr>
        <w:br w:type="page"/>
      </w:r>
    </w:p>
    <w:p w14:paraId="6B8BB7FF">
      <w:pPr>
        <w:bidi w:val="0"/>
        <w:jc w:val="center"/>
        <w:rPr>
          <w:b/>
          <w:bCs/>
          <w:color w:val="auto"/>
          <w:highlight w:val="none"/>
        </w:rPr>
      </w:pPr>
      <w:r>
        <w:rPr>
          <w:b/>
          <w:bCs/>
          <w:color w:val="auto"/>
          <w:highlight w:val="none"/>
        </w:rPr>
        <w:t>质疑函</w:t>
      </w:r>
    </w:p>
    <w:p w14:paraId="4D7C919C">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一、质疑供应商基本信息质疑供应商：</w:t>
      </w:r>
    </w:p>
    <w:p w14:paraId="20EE22DF">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2851DB87">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eastAsia="宋体"/>
          <w:color w:val="auto"/>
          <w:sz w:val="21"/>
          <w:szCs w:val="21"/>
          <w:highlight w:val="none"/>
          <w:u w:val="single"/>
          <w:lang w:val="en-US" w:eastAsia="zh-CN"/>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eastAsia="zh-CN"/>
        </w:rPr>
        <w:t xml:space="preserve">               </w:t>
      </w:r>
    </w:p>
    <w:p w14:paraId="25848BE8">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eastAsia="宋体"/>
          <w:color w:val="auto"/>
          <w:sz w:val="21"/>
          <w:szCs w:val="21"/>
          <w:highlight w:val="none"/>
          <w:u w:val="single"/>
          <w:lang w:val="en-US" w:eastAsia="zh-CN"/>
        </w:rPr>
        <w:t xml:space="preserve">  </w:t>
      </w:r>
      <w:r>
        <w:rPr>
          <w:rFonts w:hint="eastAsia" w:ascii="Times New Roman"/>
          <w:color w:val="auto"/>
          <w:sz w:val="21"/>
          <w:szCs w:val="21"/>
          <w:highlight w:val="none"/>
          <w:u w:val="single"/>
          <w:lang w:val="en-US" w:eastAsia="zh-CN"/>
        </w:rPr>
        <w:t xml:space="preserve">            </w:t>
      </w:r>
      <w:r>
        <w:rPr>
          <w:rFonts w:hint="eastAsia" w:ascii="Times New Roman" w:eastAsia="宋体"/>
          <w:color w:val="auto"/>
          <w:sz w:val="21"/>
          <w:szCs w:val="21"/>
          <w:highlight w:val="none"/>
          <w:u w:val="single"/>
          <w:lang w:val="en-US" w:eastAsia="zh-CN"/>
        </w:rPr>
        <w:t xml:space="preserve"> </w:t>
      </w:r>
    </w:p>
    <w:p w14:paraId="728C91AD">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4D9123F5">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二、质疑项目基本情况</w:t>
      </w:r>
    </w:p>
    <w:p w14:paraId="3ED77315">
      <w:pPr>
        <w:pStyle w:val="8"/>
        <w:keepNext w:val="0"/>
        <w:keepLines w:val="0"/>
        <w:pageBreakBefore w:val="0"/>
        <w:widowControl w:val="0"/>
        <w:tabs>
          <w:tab w:val="left" w:pos="408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1257516E">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14:paraId="2708F648">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eastAsia="宋体"/>
          <w:color w:val="auto"/>
          <w:sz w:val="21"/>
          <w:szCs w:val="21"/>
          <w:highlight w:val="none"/>
          <w:lang w:eastAsia="zh-CN"/>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14:paraId="3F60770F">
      <w:pPr>
        <w:pStyle w:val="8"/>
        <w:keepNext w:val="0"/>
        <w:keepLines w:val="0"/>
        <w:pageBreakBefore w:val="0"/>
        <w:widowControl w:val="0"/>
        <w:tabs>
          <w:tab w:val="left" w:pos="428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三、质疑事项具体内容</w:t>
      </w:r>
    </w:p>
    <w:p w14:paraId="25750C7D">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5FA7E666">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388097A4">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5A92F688">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24538CD5">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w:t>
      </w:r>
    </w:p>
    <w:p w14:paraId="5BE28108">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四、与质疑事项相关的质疑请求</w:t>
      </w:r>
    </w:p>
    <w:p w14:paraId="5E578B03">
      <w:pPr>
        <w:pStyle w:val="8"/>
        <w:keepNext w:val="0"/>
        <w:keepLines w:val="0"/>
        <w:pageBreakBefore w:val="0"/>
        <w:widowControl w:val="0"/>
        <w:tabs>
          <w:tab w:val="left" w:pos="514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eastAsia="宋体"/>
          <w:color w:val="auto"/>
          <w:sz w:val="21"/>
          <w:szCs w:val="21"/>
          <w:highlight w:val="none"/>
          <w:u w:val="single"/>
          <w:lang w:val="en-US" w:eastAsia="zh-CN"/>
        </w:rPr>
        <w:t xml:space="preserve">                                           </w:t>
      </w:r>
    </w:p>
    <w:p w14:paraId="2550F8D6">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14:paraId="271C1B44">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31C58EEC">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3BA72F4D">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日期： 年 月 日</w:t>
      </w:r>
    </w:p>
    <w:p w14:paraId="63A43F9A">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14:paraId="20FAD487">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质疑函制作说明：</w:t>
      </w:r>
    </w:p>
    <w:p w14:paraId="23EF9911">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供应商提出质疑时，应提交质疑函和必要的证明材料。</w:t>
      </w:r>
    </w:p>
    <w:p w14:paraId="2EEF65B1">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质疑供应商若委托代理人进行质疑的，质疑函应按要求列明</w:t>
      </w:r>
      <w:r>
        <w:rPr>
          <w:color w:val="auto"/>
          <w:spacing w:val="-4"/>
          <w:w w:val="80"/>
          <w:sz w:val="21"/>
          <w:szCs w:val="21"/>
          <w:highlight w:val="none"/>
        </w:rPr>
        <w:t>“</w:t>
      </w:r>
      <w:r>
        <w:rPr>
          <w:color w:val="auto"/>
          <w:sz w:val="21"/>
          <w:szCs w:val="21"/>
          <w:highlight w:val="none"/>
        </w:rPr>
        <w:t>授权代表</w:t>
      </w:r>
      <w:r>
        <w:rPr>
          <w:color w:val="auto"/>
          <w:spacing w:val="-4"/>
          <w:w w:val="80"/>
          <w:sz w:val="21"/>
          <w:szCs w:val="21"/>
          <w:highlight w:val="none"/>
        </w:rPr>
        <w:t>”</w:t>
      </w:r>
      <w:r>
        <w:rPr>
          <w:color w:val="auto"/>
          <w:spacing w:val="-1"/>
          <w:sz w:val="21"/>
          <w:szCs w:val="21"/>
          <w:highlight w:val="none"/>
        </w:rPr>
        <w:t>的有关内容，并在附件中提交由质疑供应商签署</w:t>
      </w:r>
      <w:r>
        <w:rPr>
          <w:color w:val="auto"/>
          <w:sz w:val="21"/>
          <w:szCs w:val="21"/>
          <w:highlight w:val="none"/>
        </w:rPr>
        <w:t>的授权委托书。授权委托书应载明代理人的姓名或者名称、代理事项、具体权限、期限和相关事项。</w:t>
      </w:r>
    </w:p>
    <w:p w14:paraId="029FC9DC">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质疑供应商若对项目的某一分包进行质疑，质疑函中应列明具体采购包号。</w:t>
      </w:r>
    </w:p>
    <w:p w14:paraId="37F2CE1E">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质疑函的质疑事项应具体、明确，并有必要的事实依据和法律依据。</w:t>
      </w:r>
    </w:p>
    <w:p w14:paraId="203DEEB6">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质疑函的质疑请求应与质疑事项相关。</w:t>
      </w:r>
    </w:p>
    <w:p w14:paraId="22C322D3">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pacing w:val="-1"/>
          <w:sz w:val="21"/>
          <w:szCs w:val="21"/>
          <w:highlight w:val="none"/>
        </w:rPr>
      </w:pPr>
      <w:r>
        <w:rPr>
          <w:color w:val="auto"/>
          <w:spacing w:val="-1"/>
          <w:sz w:val="21"/>
          <w:szCs w:val="21"/>
          <w:highlight w:val="none"/>
        </w:rPr>
        <w:t>质疑供应商为自然人的，质疑函应由本人签字；质疑供应商为法人或者其他组织的，质疑函应由法定代表人、主要负责人，或者其授权代表签字或者盖章，并加盖公章。</w:t>
      </w:r>
    </w:p>
    <w:p w14:paraId="41817938">
      <w:pPr>
        <w:rPr>
          <w:color w:val="auto"/>
          <w:sz w:val="21"/>
          <w:szCs w:val="21"/>
          <w:highlight w:val="none"/>
        </w:rPr>
      </w:pPr>
      <w:r>
        <w:rPr>
          <w:color w:val="auto"/>
          <w:sz w:val="21"/>
          <w:szCs w:val="21"/>
          <w:highlight w:val="none"/>
        </w:rPr>
        <w:br w:type="page"/>
      </w:r>
    </w:p>
    <w:p w14:paraId="6FE7E97A">
      <w:pPr>
        <w:pStyle w:val="8"/>
        <w:rPr>
          <w:rFonts w:hint="eastAsia"/>
          <w:b/>
          <w:bCs/>
          <w:color w:val="auto"/>
          <w:highlight w:val="none"/>
          <w:lang w:eastAsia="zh-CN"/>
        </w:rPr>
      </w:pPr>
      <w:r>
        <w:rPr>
          <w:rFonts w:hint="eastAsia"/>
          <w:b/>
          <w:bCs/>
          <w:color w:val="auto"/>
          <w:highlight w:val="none"/>
          <w:lang w:eastAsia="zh-CN"/>
        </w:rPr>
        <w:t>格式二：</w:t>
      </w:r>
    </w:p>
    <w:p w14:paraId="527BBEDE">
      <w:pPr>
        <w:bidi w:val="0"/>
        <w:jc w:val="center"/>
        <w:rPr>
          <w:rFonts w:hint="eastAsia" w:eastAsia="宋体"/>
          <w:b/>
          <w:bCs/>
          <w:color w:val="auto"/>
          <w:highlight w:val="none"/>
          <w:lang w:eastAsia="zh-CN"/>
        </w:rPr>
      </w:pPr>
      <w:r>
        <w:rPr>
          <w:rFonts w:hint="eastAsia"/>
          <w:b/>
          <w:bCs/>
          <w:color w:val="auto"/>
          <w:highlight w:val="none"/>
          <w:lang w:eastAsia="zh-CN"/>
        </w:rPr>
        <w:t>响应担保函</w:t>
      </w:r>
    </w:p>
    <w:p w14:paraId="3FDFDDBD">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宋体" w:hAnsi="宋体" w:eastAsia="宋体" w:cs="宋体"/>
          <w:color w:val="auto"/>
          <w:sz w:val="21"/>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200B9468">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7881FEEE">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14:paraId="6A09A9F7">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，且可以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的形式交纳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。应供应商的申请，我方以保证的方式向你方提供如下</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担保：</w:t>
      </w:r>
    </w:p>
    <w:p w14:paraId="45BA0BAC">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14:paraId="14AD49F5">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14:paraId="49F2585A">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签订合同；</w:t>
      </w:r>
    </w:p>
    <w:p w14:paraId="3167F78E">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14:paraId="19F492E6">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金额。</w:t>
      </w:r>
    </w:p>
    <w:p w14:paraId="10994A92">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14:paraId="4F51CAB0">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14:paraId="1FBA5EA9">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14:paraId="39512DDB">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14:paraId="0F3A4FF2">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14:paraId="46BCCC8C">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14:paraId="1E20B063">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14:paraId="30DD5FF1">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14:paraId="7930D84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14:paraId="30B1E1C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14:paraId="66D56A1F">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14:paraId="5852B8F9">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供应商响应保证金</w:t>
      </w:r>
      <w:r>
        <w:rPr>
          <w:rFonts w:hint="eastAsia" w:ascii="宋体" w:hAnsi="宋体" w:eastAsia="宋体" w:cs="宋体"/>
          <w:color w:val="auto"/>
          <w:sz w:val="21"/>
          <w:szCs w:val="21"/>
          <w:highlight w:val="none"/>
        </w:rPr>
        <w:t>义务时，我方亦免除相应的保证责任。</w:t>
      </w:r>
    </w:p>
    <w:p w14:paraId="1D5117E6">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14:paraId="7D6FE284">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14:paraId="2C07640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14:paraId="0D550B59">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14:paraId="7F74297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14:paraId="0ABC4BB6">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14:paraId="1A48C829">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14:paraId="1DA45753">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14:paraId="3C93BF31">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43705869">
      <w:pPr>
        <w:pageBreakBefore w:val="0"/>
        <w:kinsoku/>
        <w:topLinePunct w:val="0"/>
        <w:autoSpaceDE/>
        <w:autoSpaceDN/>
        <w:bidi w:val="0"/>
        <w:spacing w:after="0"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14:paraId="6B0909F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不以</w:t>
      </w:r>
      <w:r>
        <w:rPr>
          <w:rFonts w:hint="eastAsia" w:ascii="宋体" w:hAnsi="宋体"/>
          <w:color w:val="auto"/>
          <w:sz w:val="21"/>
          <w:szCs w:val="21"/>
          <w:highlight w:val="none"/>
          <w:lang w:eastAsia="zh-CN"/>
        </w:rPr>
        <w:t>响应担保函</w:t>
      </w:r>
      <w:r>
        <w:rPr>
          <w:rFonts w:hint="eastAsia" w:ascii="宋体" w:hAnsi="宋体" w:eastAsia="宋体" w:cs="宋体"/>
          <w:color w:val="auto"/>
          <w:sz w:val="21"/>
          <w:szCs w:val="21"/>
          <w:highlight w:val="none"/>
          <w:lang w:eastAsia="zh-CN"/>
        </w:rPr>
        <w:t>形式</w:t>
      </w:r>
      <w:r>
        <w:rPr>
          <w:rFonts w:hint="eastAsia" w:ascii="宋体" w:hAnsi="宋体" w:eastAsia="宋体"/>
          <w:color w:val="auto"/>
          <w:sz w:val="21"/>
          <w:szCs w:val="21"/>
          <w:highlight w:val="none"/>
          <w:lang w:eastAsia="zh-CN"/>
        </w:rPr>
        <w:t>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中提供此格式。</w:t>
      </w:r>
    </w:p>
    <w:p w14:paraId="0E22A47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以</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形式提交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，则应将</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原件交予</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14:paraId="301A3BFC">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14:paraId="2C2D88A8">
      <w:pPr>
        <w:pStyle w:val="8"/>
        <w:rPr>
          <w:rFonts w:hint="eastAsia"/>
          <w:b/>
          <w:bCs/>
          <w:color w:val="auto"/>
          <w:highlight w:val="none"/>
          <w:lang w:eastAsia="zh-CN"/>
        </w:rPr>
      </w:pPr>
      <w:r>
        <w:rPr>
          <w:rFonts w:hint="eastAsia"/>
          <w:b/>
          <w:bCs/>
          <w:color w:val="auto"/>
          <w:highlight w:val="none"/>
          <w:lang w:eastAsia="zh-CN"/>
        </w:rPr>
        <w:t>格式三：</w:t>
      </w:r>
    </w:p>
    <w:p w14:paraId="54BC45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履约担保函</w:t>
      </w:r>
    </w:p>
    <w:p w14:paraId="55E1E8F2">
      <w:pPr>
        <w:keepNext w:val="0"/>
        <w:keepLines w:val="0"/>
        <w:pageBreakBefore w:val="0"/>
        <w:widowControl w:val="0"/>
        <w:kinsoku/>
        <w:wordWrap/>
        <w:overflowPunct/>
        <w:topLinePunct w:val="0"/>
        <w:autoSpaceDE/>
        <w:autoSpaceDN/>
        <w:bidi w:val="0"/>
        <w:adjustRightInd/>
        <w:snapToGrid/>
        <w:spacing w:line="360" w:lineRule="auto"/>
        <w:ind w:firstLine="3512" w:firstLineChars="1666"/>
        <w:textAlignment w:val="auto"/>
        <w:rPr>
          <w:rFonts w:hint="eastAsia" w:ascii="宋体" w:hAnsi="宋体" w:eastAsia="宋体" w:cs="宋体"/>
          <w:b/>
          <w:color w:val="auto"/>
          <w:sz w:val="21"/>
          <w:szCs w:val="21"/>
          <w:highlight w:val="none"/>
        </w:rPr>
      </w:pPr>
    </w:p>
    <w:p w14:paraId="2DA5B88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14:paraId="09359E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14:paraId="2EC8C5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4FD0F3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一、保证责任的情形及保证金额</w:t>
      </w:r>
    </w:p>
    <w:p w14:paraId="4ED0F4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(一)在供应商出现下列情形之一时，我方承担保证责任：</w:t>
      </w:r>
    </w:p>
    <w:p w14:paraId="1FAB4B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14:paraId="725CB8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2.主合同约定的应 当缴纳履约保证金的情形:</w:t>
      </w:r>
    </w:p>
    <w:p w14:paraId="1AADBF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14:paraId="14A438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(2)_______________________________________________________________。</w:t>
      </w:r>
    </w:p>
    <w:p w14:paraId="6C467B01">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(二)我方的保证范围是主合同约定的合同价款总额的______%数额为_______元（大写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__________），币种为__________。（即主合同履约保证金金额）</w:t>
      </w:r>
    </w:p>
    <w:p w14:paraId="3367E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14:paraId="3BB30C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14:paraId="52B83D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我方保证的期间为：自本合同生效之日起至供应商按照主合同约定的供货／完工期限届满后______日内。</w:t>
      </w:r>
    </w:p>
    <w:p w14:paraId="0A55AB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14:paraId="58B5D4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三、承担保证责任的程序</w:t>
      </w:r>
    </w:p>
    <w:p w14:paraId="65592246">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5006D9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547EF35C">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2.我方收到你方的书面索赔通知及相应证明材料，在_____工作日内进行核定后按照本保函的承诺承担保证责任。</w:t>
      </w:r>
    </w:p>
    <w:p w14:paraId="30A2D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四、保证责任的终止</w:t>
      </w:r>
    </w:p>
    <w:p w14:paraId="13557EBE">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BD94A9A">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14:paraId="4B98E3BF">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14:paraId="55BE36CC">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02AA05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五、免责条款</w:t>
      </w:r>
    </w:p>
    <w:p w14:paraId="233353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1.因你方违反主合同约定致使供应商不能履行义务的，我方不承担保证责任。</w:t>
      </w:r>
    </w:p>
    <w:p w14:paraId="232FA924">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14:paraId="4816BD0B">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14:paraId="738114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六、争议的解决</w:t>
      </w:r>
    </w:p>
    <w:p w14:paraId="4EC395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因本保函发生的纠纷，由你我双方协商解决，协商不成的，通过诉讼程序解决,诉讼管辖地法院为_______________法院。</w:t>
      </w:r>
    </w:p>
    <w:p w14:paraId="2251EF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七、保函的生效</w:t>
      </w:r>
    </w:p>
    <w:p w14:paraId="656AA76E">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14:paraId="1E4AF1F3">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保证人：（公章） </w:t>
      </w:r>
    </w:p>
    <w:p w14:paraId="3CE356C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5EA47E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322B58A">
      <w:pPr>
        <w:pStyle w:val="8"/>
        <w:rPr>
          <w:rFonts w:hint="eastAsia"/>
          <w:b/>
          <w:bCs/>
          <w:color w:val="auto"/>
          <w:highlight w:val="none"/>
          <w:lang w:eastAsia="zh-CN"/>
        </w:rPr>
      </w:pPr>
      <w:r>
        <w:rPr>
          <w:rFonts w:hint="eastAsia"/>
          <w:b/>
          <w:bCs/>
          <w:color w:val="auto"/>
          <w:highlight w:val="none"/>
          <w:lang w:eastAsia="zh-CN"/>
        </w:rPr>
        <w:t>格式四：</w:t>
      </w:r>
    </w:p>
    <w:p w14:paraId="15831808">
      <w:pPr>
        <w:bidi w:val="0"/>
        <w:jc w:val="center"/>
        <w:rPr>
          <w:rFonts w:hint="eastAsia"/>
          <w:b/>
          <w:bCs/>
          <w:color w:val="auto"/>
          <w:highlight w:val="none"/>
        </w:rPr>
      </w:pPr>
      <w:r>
        <w:rPr>
          <w:rFonts w:hint="eastAsia"/>
          <w:b/>
          <w:bCs/>
          <w:color w:val="auto"/>
          <w:highlight w:val="none"/>
        </w:rPr>
        <w:t>联合体共同</w:t>
      </w:r>
      <w:r>
        <w:rPr>
          <w:rFonts w:hint="eastAsia"/>
          <w:b/>
          <w:bCs/>
          <w:color w:val="auto"/>
          <w:highlight w:val="none"/>
          <w:lang w:val="en-US" w:eastAsia="zh-CN"/>
        </w:rPr>
        <w:t>响应</w:t>
      </w:r>
      <w:r>
        <w:rPr>
          <w:rFonts w:hint="eastAsia"/>
          <w:b/>
          <w:bCs/>
          <w:color w:val="auto"/>
          <w:highlight w:val="none"/>
        </w:rPr>
        <w:t>协议书</w:t>
      </w:r>
    </w:p>
    <w:p w14:paraId="2BABFF00">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14:paraId="0552D3BF">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14:paraId="06A2FEAB">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14:paraId="12181FEE">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供应商的身份共同参加（采购项目名称） （采购项目编号）的响应活动。经各方充分协商一致，就项目的响应和合同实施阶段的有关事务协商一致订立协议如下：</w:t>
      </w:r>
    </w:p>
    <w:p w14:paraId="0C65D2B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14:paraId="333149E2">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供应商的身份共同参加本项目的响应。（甲公司全称）、（乙公司全称）、（……公司全称）作为联合体成员，若中标，联合体各方共同与（采购人）签订政府采购合同。</w:t>
      </w:r>
    </w:p>
    <w:p w14:paraId="5FDAA472">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14:paraId="428747C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1.作为联合体的牵头单位，代表联合体双方负责</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和合同实施阶段的主办、协调工作。</w:t>
      </w:r>
    </w:p>
    <w:p w14:paraId="32308E13">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，切实执行一切合同文件，共同承担合同规定的一切义务和责任，同时按照内部职责的划分，承担自身所负的责任和风险，在法律在承担连带责任。</w:t>
      </w:r>
    </w:p>
    <w:p w14:paraId="7089FCE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14:paraId="2FE4928A">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14:paraId="15F154CF">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14:paraId="1173CC71">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1E33E8C3">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14:paraId="4436E00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14:paraId="01C8D61E">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装订   份，送采购人   份，联合体成员各一份；副本一式   份，联合体成员各执    份。</w:t>
      </w:r>
    </w:p>
    <w:p w14:paraId="508A13A9">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14:paraId="126D8133">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……公司全称（盖章）</w:t>
      </w:r>
    </w:p>
    <w:p w14:paraId="5227671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14:paraId="6569E4AE">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14:paraId="5C15D1C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14:paraId="3790F6DD">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时需签本协议，联合体各方成员应在本协议上共同盖章确认。</w:t>
      </w:r>
    </w:p>
    <w:p w14:paraId="2C0DBA31">
      <w:pPr>
        <w:ind w:firstLine="840" w:firstLineChars="400"/>
        <w:rPr>
          <w:rFonts w:hint="eastAsia"/>
          <w:color w:val="auto"/>
          <w:highlight w:val="none"/>
          <w:lang w:eastAsia="zh-CN"/>
        </w:rPr>
      </w:pPr>
      <w:r>
        <w:rPr>
          <w:rFonts w:hint="eastAsia" w:ascii="宋体" w:hAnsi="宋体" w:eastAsia="宋体"/>
          <w:color w:val="auto"/>
          <w:sz w:val="21"/>
          <w:szCs w:val="21"/>
          <w:highlight w:val="none"/>
          <w:lang w:eastAsia="zh-CN"/>
        </w:rPr>
        <w:t>2．本协议内容不得擅自修改。此协议将作为签订合同的附件之一。</w:t>
      </w:r>
    </w:p>
    <w:p w14:paraId="611DBD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思源黑体 CN Heavy">
    <w:altName w:val="黑体"/>
    <w:panose1 w:val="020B0A00000000000000"/>
    <w:charset w:val="80"/>
    <w:family w:val="swiss"/>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C365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3C9C3">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E3C9C3">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F3871">
    <w:pPr>
      <w:pStyle w:val="13"/>
      <w:pBdr>
        <w:bottom w:val="single" w:color="auto" w:sz="4" w:space="1"/>
      </w:pBdr>
      <w:jc w:val="center"/>
      <w:rPr>
        <w:rFonts w:hint="default" w:eastAsia="宋体"/>
        <w:lang w:val="en-US" w:eastAsia="zh-CN"/>
      </w:rPr>
    </w:pPr>
    <w:r>
      <w:rPr>
        <w:rFonts w:hint="eastAsia"/>
        <w:lang w:val="en-US" w:eastAsia="zh-CN"/>
      </w:rPr>
      <w:t>田边村慧眼视频运维服务采购项目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abstractNum w:abstractNumId="9">
    <w:nsid w:val="3F8A5608"/>
    <w:multiLevelType w:val="multilevel"/>
    <w:tmpl w:val="3F8A5608"/>
    <w:lvl w:ilvl="0" w:tentative="0">
      <w:start w:val="1"/>
      <w:numFmt w:val="decimal"/>
      <w:pStyle w:val="9"/>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0">
    <w:nsid w:val="7C490D3A"/>
    <w:multiLevelType w:val="multilevel"/>
    <w:tmpl w:val="7C490D3A"/>
    <w:lvl w:ilvl="0" w:tentative="0">
      <w:start w:val="1"/>
      <w:numFmt w:val="decimal"/>
      <w:suff w:val="nothing"/>
      <w:lvlText w:val="%1."/>
      <w:lvlJc w:val="left"/>
      <w:pPr>
        <w:ind w:left="0" w:leftChars="0" w:firstLine="0" w:firstLineChars="0"/>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9"/>
  </w:num>
  <w:num w:numId="2">
    <w:abstractNumId w:val="1"/>
  </w:num>
  <w:num w:numId="3">
    <w:abstractNumId w:val="7"/>
  </w:num>
  <w:num w:numId="4">
    <w:abstractNumId w:val="3"/>
  </w:num>
  <w:num w:numId="5">
    <w:abstractNumId w:val="4"/>
  </w:num>
  <w:num w:numId="6">
    <w:abstractNumId w:val="10"/>
  </w:num>
  <w:num w:numId="7">
    <w:abstractNumId w:val="8"/>
  </w:num>
  <w:num w:numId="8">
    <w:abstractNumId w:val="6"/>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TdjYTgwZDk4MGVhOWM2Mzc5Y2E1ODMzZGQ4NDAifQ=="/>
  </w:docVars>
  <w:rsids>
    <w:rsidRoot w:val="0B696582"/>
    <w:rsid w:val="02880AAC"/>
    <w:rsid w:val="03C618A1"/>
    <w:rsid w:val="043807E7"/>
    <w:rsid w:val="0548041A"/>
    <w:rsid w:val="063D2F0C"/>
    <w:rsid w:val="067D5B77"/>
    <w:rsid w:val="074100C5"/>
    <w:rsid w:val="076F1AD9"/>
    <w:rsid w:val="08DB5114"/>
    <w:rsid w:val="094A084B"/>
    <w:rsid w:val="0A4036B4"/>
    <w:rsid w:val="0AA575BB"/>
    <w:rsid w:val="0B696582"/>
    <w:rsid w:val="0BE32B7B"/>
    <w:rsid w:val="0C545EC4"/>
    <w:rsid w:val="0C6C696A"/>
    <w:rsid w:val="0FA75340"/>
    <w:rsid w:val="11D02E86"/>
    <w:rsid w:val="13256801"/>
    <w:rsid w:val="13EB22ED"/>
    <w:rsid w:val="1415573E"/>
    <w:rsid w:val="19BB08C0"/>
    <w:rsid w:val="19C92056"/>
    <w:rsid w:val="1A0264EA"/>
    <w:rsid w:val="1B046FEA"/>
    <w:rsid w:val="1B5A74F3"/>
    <w:rsid w:val="1C1C0087"/>
    <w:rsid w:val="1CE123EB"/>
    <w:rsid w:val="21FC0B62"/>
    <w:rsid w:val="241A2A47"/>
    <w:rsid w:val="253E5F41"/>
    <w:rsid w:val="29A20A66"/>
    <w:rsid w:val="2A213986"/>
    <w:rsid w:val="2B3E0348"/>
    <w:rsid w:val="2C250F65"/>
    <w:rsid w:val="2C5457DD"/>
    <w:rsid w:val="2E69728F"/>
    <w:rsid w:val="2EF83FF0"/>
    <w:rsid w:val="304A47CF"/>
    <w:rsid w:val="30EA23C9"/>
    <w:rsid w:val="31E354A2"/>
    <w:rsid w:val="3320692B"/>
    <w:rsid w:val="339D5B51"/>
    <w:rsid w:val="33E12E57"/>
    <w:rsid w:val="34B71934"/>
    <w:rsid w:val="35C94D7D"/>
    <w:rsid w:val="35DD7BFD"/>
    <w:rsid w:val="38324DDA"/>
    <w:rsid w:val="384308A7"/>
    <w:rsid w:val="39A051FF"/>
    <w:rsid w:val="39C27E7C"/>
    <w:rsid w:val="39C41D3F"/>
    <w:rsid w:val="39C96828"/>
    <w:rsid w:val="3A123017"/>
    <w:rsid w:val="3C47409B"/>
    <w:rsid w:val="3C642AA6"/>
    <w:rsid w:val="3CEB14FD"/>
    <w:rsid w:val="3F53097E"/>
    <w:rsid w:val="414A030F"/>
    <w:rsid w:val="430C10BA"/>
    <w:rsid w:val="432A369E"/>
    <w:rsid w:val="466D59AC"/>
    <w:rsid w:val="46E173C2"/>
    <w:rsid w:val="4800556C"/>
    <w:rsid w:val="493F6006"/>
    <w:rsid w:val="49A308A5"/>
    <w:rsid w:val="4B5B3ECB"/>
    <w:rsid w:val="4C22418B"/>
    <w:rsid w:val="4DD477D5"/>
    <w:rsid w:val="4E6A7DE2"/>
    <w:rsid w:val="4E862B87"/>
    <w:rsid w:val="4E9C6EA6"/>
    <w:rsid w:val="4FDB03C9"/>
    <w:rsid w:val="51593AA1"/>
    <w:rsid w:val="51ED4F85"/>
    <w:rsid w:val="549178FF"/>
    <w:rsid w:val="55206652"/>
    <w:rsid w:val="57961A49"/>
    <w:rsid w:val="59F20A8D"/>
    <w:rsid w:val="5B4638CB"/>
    <w:rsid w:val="5CBA3271"/>
    <w:rsid w:val="5D683E7E"/>
    <w:rsid w:val="5DE26737"/>
    <w:rsid w:val="5DE85889"/>
    <w:rsid w:val="5E2A2E41"/>
    <w:rsid w:val="5F8F1E39"/>
    <w:rsid w:val="603C7F08"/>
    <w:rsid w:val="64677E69"/>
    <w:rsid w:val="648F7060"/>
    <w:rsid w:val="64D3048A"/>
    <w:rsid w:val="653868F1"/>
    <w:rsid w:val="67520D2F"/>
    <w:rsid w:val="67880920"/>
    <w:rsid w:val="68402491"/>
    <w:rsid w:val="68EC19B0"/>
    <w:rsid w:val="6DCB42B6"/>
    <w:rsid w:val="6E003853"/>
    <w:rsid w:val="6E3D7478"/>
    <w:rsid w:val="6E4B34EF"/>
    <w:rsid w:val="6FA063D7"/>
    <w:rsid w:val="6FDB3277"/>
    <w:rsid w:val="735656B0"/>
    <w:rsid w:val="739B0891"/>
    <w:rsid w:val="74951BFB"/>
    <w:rsid w:val="74D55507"/>
    <w:rsid w:val="758F5156"/>
    <w:rsid w:val="79533EEE"/>
    <w:rsid w:val="79EC3698"/>
    <w:rsid w:val="79F776FD"/>
    <w:rsid w:val="7AEF48EE"/>
    <w:rsid w:val="7B760D29"/>
    <w:rsid w:val="7DCA35B3"/>
    <w:rsid w:val="7FC30B1C"/>
    <w:rsid w:val="7FC6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eastAsia="宋体" w:asciiTheme="minorAscii" w:hAnsiTheme="minorAscii" w:cstheme="minorBidi"/>
      <w:kern w:val="2"/>
      <w:sz w:val="21"/>
      <w:szCs w:val="24"/>
      <w:lang w:val="en-US" w:eastAsia="zh-CN" w:bidi="ar-SA"/>
    </w:rPr>
  </w:style>
  <w:style w:type="paragraph" w:styleId="2">
    <w:name w:val="heading 1"/>
    <w:basedOn w:val="1"/>
    <w:next w:val="1"/>
    <w:link w:val="24"/>
    <w:autoRedefine/>
    <w:qFormat/>
    <w:uiPriority w:val="0"/>
    <w:pPr>
      <w:keepNext/>
      <w:keepLines/>
      <w:spacing w:before="340" w:beforeLines="0" w:beforeAutospacing="0" w:after="330" w:afterLines="0" w:afterAutospacing="0" w:line="576" w:lineRule="auto"/>
      <w:jc w:val="center"/>
      <w:outlineLvl w:val="0"/>
    </w:pPr>
    <w:rPr>
      <w:b/>
      <w:kern w:val="44"/>
      <w:sz w:val="30"/>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paragraph" w:styleId="4">
    <w:name w:val="heading 3"/>
    <w:basedOn w:val="1"/>
    <w:next w:val="1"/>
    <w:autoRedefine/>
    <w:unhideWhenUsed/>
    <w:qFormat/>
    <w:uiPriority w:val="0"/>
    <w:pPr>
      <w:keepNext/>
      <w:keepLines/>
      <w:spacing w:beforeLines="0" w:beforeAutospacing="0" w:afterLines="0" w:afterAutospacing="0" w:line="360" w:lineRule="auto"/>
      <w:outlineLvl w:val="2"/>
    </w:pPr>
    <w:rPr>
      <w:rFonts w:eastAsia="宋体"/>
      <w:b/>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annotation text"/>
    <w:basedOn w:val="1"/>
    <w:autoRedefine/>
    <w:qFormat/>
    <w:uiPriority w:val="0"/>
    <w:pPr>
      <w:jc w:val="left"/>
    </w:pPr>
  </w:style>
  <w:style w:type="paragraph" w:styleId="8">
    <w:name w:val="Body Text"/>
    <w:basedOn w:val="1"/>
    <w:next w:val="9"/>
    <w:autoRedefine/>
    <w:qFormat/>
    <w:uiPriority w:val="1"/>
    <w:pPr>
      <w:spacing w:before="161"/>
      <w:ind w:left="120"/>
    </w:pPr>
    <w:rPr>
      <w:rFonts w:ascii="宋体" w:hAnsi="宋体" w:eastAsia="宋体" w:cs="宋体"/>
      <w:sz w:val="24"/>
      <w:lang w:val="zh-CN" w:bidi="zh-CN"/>
    </w:rPr>
  </w:style>
  <w:style w:type="paragraph" w:styleId="9">
    <w:name w:val="Body Text First Indent"/>
    <w:basedOn w:val="8"/>
    <w:autoRedefine/>
    <w:qFormat/>
    <w:uiPriority w:val="0"/>
    <w:pPr>
      <w:numPr>
        <w:ilvl w:val="0"/>
        <w:numId w:val="1"/>
      </w:numPr>
      <w:tabs>
        <w:tab w:val="clear" w:pos="420"/>
      </w:tabs>
      <w:spacing w:line="360" w:lineRule="auto"/>
      <w:ind w:left="0" w:firstLine="420" w:firstLineChars="100"/>
    </w:pPr>
    <w:rPr>
      <w:rFonts w:ascii="Calibri" w:hAnsi="Calibri"/>
      <w:szCs w:val="22"/>
    </w:rPr>
  </w:style>
  <w:style w:type="paragraph" w:styleId="10">
    <w:name w:val="toc 3"/>
    <w:basedOn w:val="1"/>
    <w:next w:val="1"/>
    <w:autoRedefine/>
    <w:qFormat/>
    <w:uiPriority w:val="0"/>
    <w:pPr>
      <w:ind w:left="840" w:leftChars="400"/>
    </w:pPr>
  </w:style>
  <w:style w:type="paragraph" w:styleId="11">
    <w:name w:val="Plain Text"/>
    <w:basedOn w:val="1"/>
    <w:autoRedefine/>
    <w:qFormat/>
    <w:uiPriority w:val="0"/>
    <w:rPr>
      <w:rFonts w:ascii="宋体" w:hAnsi="Courier New" w:eastAsiaTheme="minorEastAsia" w:cstheme="minorBidi"/>
      <w:szCs w:val="22"/>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0"/>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autoRedefine/>
    <w:qFormat/>
    <w:uiPriority w:val="0"/>
    <w:rPr>
      <w:i/>
    </w:rPr>
  </w:style>
  <w:style w:type="character" w:styleId="21">
    <w:name w:val="Hyperlink"/>
    <w:autoRedefine/>
    <w:qFormat/>
    <w:uiPriority w:val="99"/>
    <w:rPr>
      <w:color w:val="0000FF"/>
      <w:u w:val="single"/>
    </w:rPr>
  </w:style>
  <w:style w:type="paragraph" w:customStyle="1" w:styleId="22">
    <w:name w:val="表格文字"/>
    <w:basedOn w:val="1"/>
    <w:autoRedefine/>
    <w:qFormat/>
    <w:uiPriority w:val="0"/>
    <w:pPr>
      <w:spacing w:before="25" w:after="25" w:line="300" w:lineRule="auto"/>
    </w:pPr>
    <w:rPr>
      <w:rFonts w:ascii="Times" w:hAnsi="Times"/>
      <w:spacing w:val="10"/>
      <w:kern w:val="0"/>
      <w:sz w:val="24"/>
      <w:szCs w:val="20"/>
    </w:rPr>
  </w:style>
  <w:style w:type="paragraph" w:styleId="23">
    <w:name w:val="List Paragraph"/>
    <w:basedOn w:val="1"/>
    <w:autoRedefine/>
    <w:qFormat/>
    <w:uiPriority w:val="34"/>
    <w:pPr>
      <w:ind w:firstLine="420" w:firstLineChars="200"/>
    </w:pPr>
  </w:style>
  <w:style w:type="character" w:customStyle="1" w:styleId="24">
    <w:name w:val="标题 1 Char"/>
    <w:link w:val="2"/>
    <w:autoRedefine/>
    <w:qFormat/>
    <w:uiPriority w:val="0"/>
    <w:rPr>
      <w:b/>
      <w:kern w:val="44"/>
      <w:sz w:val="30"/>
    </w:rPr>
  </w:style>
  <w:style w:type="paragraph" w:customStyle="1" w:styleId="25">
    <w:name w:val="Table Paragraph"/>
    <w:basedOn w:val="1"/>
    <w:autoRedefine/>
    <w:qFormat/>
    <w:uiPriority w:val="1"/>
  </w:style>
  <w:style w:type="paragraph" w:customStyle="1" w:styleId="26">
    <w:name w:val="正文缩进2格"/>
    <w:basedOn w:val="1"/>
    <w:next w:val="1"/>
    <w:autoRedefine/>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7">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8">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9">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30">
    <w:name w:val="_Style 4"/>
    <w:basedOn w:val="1"/>
    <w:autoRedefine/>
    <w:qFormat/>
    <w:uiPriority w:val="0"/>
    <w:pPr>
      <w:spacing w:line="360" w:lineRule="auto"/>
      <w:ind w:firstLine="420" w:firstLineChars="200"/>
    </w:pPr>
    <w:rPr>
      <w:rFonts w:ascii="Calibri" w:hAnsi="Calibri"/>
      <w:szCs w:val="22"/>
    </w:rPr>
  </w:style>
  <w:style w:type="character" w:customStyle="1" w:styleId="31">
    <w:name w:val="font61"/>
    <w:basedOn w:val="19"/>
    <w:autoRedefine/>
    <w:qFormat/>
    <w:uiPriority w:val="0"/>
    <w:rPr>
      <w:rFonts w:hint="default" w:ascii="Times New Roman" w:hAnsi="Times New Roman" w:cs="Times New Roman"/>
      <w:color w:val="000000"/>
      <w:sz w:val="20"/>
      <w:szCs w:val="20"/>
      <w:u w:val="none"/>
    </w:rPr>
  </w:style>
  <w:style w:type="character" w:customStyle="1" w:styleId="32">
    <w:name w:val="font41"/>
    <w:basedOn w:val="19"/>
    <w:autoRedefine/>
    <w:qFormat/>
    <w:uiPriority w:val="0"/>
    <w:rPr>
      <w:rFonts w:hint="eastAsia" w:ascii="宋体" w:hAnsi="宋体" w:eastAsia="宋体" w:cs="宋体"/>
      <w:color w:val="000000"/>
      <w:sz w:val="20"/>
      <w:szCs w:val="20"/>
      <w:u w:val="none"/>
    </w:rPr>
  </w:style>
  <w:style w:type="character" w:customStyle="1" w:styleId="33">
    <w:name w:val="font71"/>
    <w:basedOn w:val="19"/>
    <w:autoRedefine/>
    <w:qFormat/>
    <w:uiPriority w:val="0"/>
    <w:rPr>
      <w:rFonts w:hint="eastAsia" w:ascii="宋体" w:hAnsi="宋体" w:eastAsia="宋体" w:cs="宋体"/>
      <w:color w:val="000000"/>
      <w:sz w:val="20"/>
      <w:szCs w:val="20"/>
      <w:u w:val="none"/>
      <w:vertAlign w:val="superscript"/>
    </w:rPr>
  </w:style>
  <w:style w:type="character" w:customStyle="1" w:styleId="34">
    <w:name w:val="font31"/>
    <w:basedOn w:val="19"/>
    <w:autoRedefine/>
    <w:qFormat/>
    <w:uiPriority w:val="0"/>
    <w:rPr>
      <w:rFonts w:hint="eastAsia" w:ascii="宋体" w:hAnsi="宋体" w:eastAsia="宋体" w:cs="宋体"/>
      <w:color w:val="000000"/>
      <w:sz w:val="20"/>
      <w:szCs w:val="20"/>
      <w:u w:val="none"/>
    </w:rPr>
  </w:style>
  <w:style w:type="character" w:customStyle="1" w:styleId="35">
    <w:name w:val="font01"/>
    <w:basedOn w:val="19"/>
    <w:autoRedefine/>
    <w:qFormat/>
    <w:uiPriority w:val="0"/>
    <w:rPr>
      <w:rFonts w:hint="default" w:ascii="Times New Roman" w:hAnsi="Times New Roman" w:cs="Times New Roman"/>
      <w:color w:val="000000"/>
      <w:sz w:val="20"/>
      <w:szCs w:val="20"/>
      <w:u w:val="none"/>
      <w:vertAlign w:val="superscript"/>
    </w:rPr>
  </w:style>
  <w:style w:type="character" w:customStyle="1" w:styleId="36">
    <w:name w:val="font11"/>
    <w:basedOn w:val="19"/>
    <w:autoRedefine/>
    <w:qFormat/>
    <w:uiPriority w:val="0"/>
    <w:rPr>
      <w:rFonts w:hint="eastAsia" w:ascii="宋体" w:hAnsi="宋体" w:eastAsia="宋体" w:cs="宋体"/>
      <w:color w:val="000000"/>
      <w:sz w:val="20"/>
      <w:szCs w:val="20"/>
      <w:u w:val="none"/>
    </w:rPr>
  </w:style>
  <w:style w:type="character" w:customStyle="1" w:styleId="37">
    <w:name w:val="font51"/>
    <w:basedOn w:val="19"/>
    <w:autoRedefine/>
    <w:qFormat/>
    <w:uiPriority w:val="0"/>
    <w:rPr>
      <w:rFonts w:hint="eastAsia" w:ascii="宋体" w:hAnsi="宋体" w:eastAsia="宋体" w:cs="宋体"/>
      <w:color w:val="000000"/>
      <w:sz w:val="20"/>
      <w:szCs w:val="20"/>
      <w:u w:val="none"/>
    </w:rPr>
  </w:style>
  <w:style w:type="character" w:customStyle="1" w:styleId="38">
    <w:name w:val="font81"/>
    <w:basedOn w:val="19"/>
    <w:autoRedefine/>
    <w:qFormat/>
    <w:uiPriority w:val="0"/>
    <w:rPr>
      <w:rFonts w:hint="default" w:ascii="Times New Roman" w:hAnsi="Times New Roman" w:cs="Times New Roman"/>
      <w:color w:val="000000"/>
      <w:sz w:val="20"/>
      <w:szCs w:val="20"/>
      <w:u w:val="none"/>
      <w:vertAlign w:val="superscript"/>
    </w:rPr>
  </w:style>
  <w:style w:type="paragraph" w:customStyle="1" w:styleId="3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szCs w:val="20"/>
    </w:rPr>
  </w:style>
  <w:style w:type="paragraph" w:customStyle="1" w:styleId="40">
    <w:name w:val="xl44"/>
    <w:basedOn w:val="1"/>
    <w:autoRedefine/>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 w:type="paragraph" w:customStyle="1" w:styleId="41">
    <w:name w:val="Normal-1"/>
    <w:basedOn w:val="1"/>
    <w:qFormat/>
    <w:uiPriority w:val="0"/>
    <w:pPr>
      <w:spacing w:after="156" w:afterLines="50" w:line="312" w:lineRule="auto"/>
      <w:ind w:firstLine="200" w:firstLineChars="200"/>
    </w:pPr>
    <w:rPr>
      <w:rFonts w:ascii="Arial" w:hAnsi="Arial" w:cs="Arial"/>
      <w:sz w:val="24"/>
      <w:szCs w:val="22"/>
    </w:rPr>
  </w:style>
  <w:style w:type="paragraph" w:customStyle="1" w:styleId="42">
    <w:name w:val="null3"/>
    <w:hidden/>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35814</Words>
  <Characters>36947</Characters>
  <Lines>0</Lines>
  <Paragraphs>0</Paragraphs>
  <TotalTime>7</TotalTime>
  <ScaleCrop>false</ScaleCrop>
  <LinksUpToDate>false</LinksUpToDate>
  <CharactersWithSpaces>38724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陈--JIN涛</cp:lastModifiedBy>
  <cp:lastPrinted>2022-07-22T06:56:00Z</cp:lastPrinted>
  <dcterms:modified xsi:type="dcterms:W3CDTF">2024-09-23T07:02:31Z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042393E798DF4FBBACC67A7CBDAD68E3_13</vt:lpwstr>
  </property>
</Properties>
</file>